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1512"/>
        <w:gridCol w:w="1479"/>
        <w:gridCol w:w="6585"/>
      </w:tblGrid>
      <w:tr w:rsidR="00D06051" w:rsidRPr="00B11D68" w:rsidTr="00462D88">
        <w:tc>
          <w:tcPr>
            <w:tcW w:w="1512" w:type="dxa"/>
          </w:tcPr>
          <w:p w:rsidR="00D06051" w:rsidRPr="00B11D68" w:rsidRDefault="00D06051" w:rsidP="00C8777B">
            <w:pPr>
              <w:pStyle w:val="ListParagraph"/>
              <w:numPr>
                <w:ilvl w:val="0"/>
                <w:numId w:val="7"/>
              </w:numPr>
              <w:rPr>
                <w:b/>
                <w:sz w:val="20"/>
                <w:szCs w:val="20"/>
              </w:rPr>
            </w:pPr>
            <w:r w:rsidRPr="00B11D68">
              <w:rPr>
                <w:b/>
                <w:sz w:val="20"/>
                <w:szCs w:val="20"/>
              </w:rPr>
              <w:t>Objectives</w:t>
            </w:r>
          </w:p>
        </w:tc>
        <w:tc>
          <w:tcPr>
            <w:tcW w:w="8064" w:type="dxa"/>
            <w:gridSpan w:val="2"/>
          </w:tcPr>
          <w:p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Sponsored Conferences will normally be organized by a Federated Society, an IEA Technical Group, or by Societies representing the IEA in cooperation with other bodies as may be appropriate.</w:t>
            </w:r>
          </w:p>
          <w:p w:rsidR="007F5005" w:rsidRPr="00010EF6" w:rsidRDefault="007F5005" w:rsidP="007F5005">
            <w:pPr>
              <w:spacing w:beforeLines="50" w:before="120" w:afterLines="50" w:after="120"/>
              <w:rPr>
                <w:color w:val="000000" w:themeColor="text1"/>
                <w:sz w:val="20"/>
                <w:szCs w:val="20"/>
              </w:rPr>
            </w:pPr>
            <w:r w:rsidRPr="00010EF6">
              <w:rPr>
                <w:color w:val="000000" w:themeColor="text1"/>
                <w:sz w:val="20"/>
                <w:szCs w:val="20"/>
              </w:rPr>
              <w:t>The officers of the IEA and the representative(s) of the Council will hold periodic consultations with the organizers and provide advice on finances, physical requirements, organization, themes, topics, scientific speakers and other matters.</w:t>
            </w:r>
          </w:p>
          <w:p w:rsidR="00B11D68" w:rsidRPr="00B11D68" w:rsidRDefault="00B11D68" w:rsidP="00B11D68">
            <w:pPr>
              <w:rPr>
                <w:sz w:val="20"/>
                <w:szCs w:val="20"/>
              </w:rPr>
            </w:pPr>
          </w:p>
        </w:tc>
        <w:bookmarkStart w:id="0" w:name="_GoBack"/>
        <w:bookmarkEnd w:id="0"/>
      </w:tr>
      <w:tr w:rsidR="00D84AFF" w:rsidRPr="00B11D68" w:rsidTr="00462D88">
        <w:tc>
          <w:tcPr>
            <w:tcW w:w="1512" w:type="dxa"/>
            <w:vMerge w:val="restart"/>
          </w:tcPr>
          <w:p w:rsidR="00D84AFF" w:rsidRPr="00B11D68" w:rsidRDefault="00D84AFF" w:rsidP="00C8777B">
            <w:pPr>
              <w:pStyle w:val="ListParagraph"/>
              <w:numPr>
                <w:ilvl w:val="0"/>
                <w:numId w:val="7"/>
              </w:numPr>
              <w:rPr>
                <w:b/>
                <w:sz w:val="20"/>
                <w:szCs w:val="20"/>
              </w:rPr>
            </w:pPr>
            <w:r w:rsidRPr="00B11D68">
              <w:rPr>
                <w:b/>
                <w:sz w:val="20"/>
                <w:szCs w:val="20"/>
              </w:rPr>
              <w:t>Procedures</w:t>
            </w:r>
          </w:p>
        </w:tc>
        <w:tc>
          <w:tcPr>
            <w:tcW w:w="1479" w:type="dxa"/>
          </w:tcPr>
          <w:p w:rsidR="00D84AFF" w:rsidRPr="00B11D68" w:rsidRDefault="00D84AFF" w:rsidP="00084F66">
            <w:pPr>
              <w:rPr>
                <w:sz w:val="20"/>
                <w:szCs w:val="20"/>
              </w:rPr>
            </w:pPr>
            <w:r w:rsidRPr="00B11D68">
              <w:rPr>
                <w:sz w:val="20"/>
                <w:szCs w:val="20"/>
              </w:rPr>
              <w:t xml:space="preserve">2.1 </w:t>
            </w:r>
            <w:r w:rsidR="00084F66">
              <w:rPr>
                <w:spacing w:val="-2"/>
                <w:sz w:val="20"/>
              </w:rPr>
              <w:t>Congress Proceedings</w:t>
            </w:r>
          </w:p>
        </w:tc>
        <w:tc>
          <w:tcPr>
            <w:tcW w:w="6585" w:type="dxa"/>
          </w:tcPr>
          <w:p w:rsidR="00D84AFF" w:rsidRPr="00084F66" w:rsidRDefault="00084F66" w:rsidP="00084F66">
            <w:pPr>
              <w:spacing w:beforeLines="50" w:before="120" w:afterLines="50" w:after="120"/>
              <w:rPr>
                <w:rFonts w:cstheme="majorHAnsi"/>
                <w:sz w:val="20"/>
                <w:szCs w:val="20"/>
              </w:rPr>
            </w:pPr>
            <w:r w:rsidRPr="00AE30E6">
              <w:rPr>
                <w:rFonts w:cstheme="majorHAnsi"/>
                <w:sz w:val="20"/>
                <w:szCs w:val="20"/>
              </w:rPr>
              <w:t>The IEA requires 1 copy of the congress proceedings to be provided for the IEA archives.  Electronic versions are preferred.  The congress organizers are also encouraged to provide one copy of the proceedings to each developing country.  A list of contacts for these countries can be obtained from the Secretary General at the time of distribution.</w:t>
            </w:r>
          </w:p>
        </w:tc>
      </w:tr>
      <w:tr w:rsidR="00D84AFF" w:rsidRPr="00B11D68" w:rsidTr="00462D88">
        <w:tc>
          <w:tcPr>
            <w:tcW w:w="1512" w:type="dxa"/>
            <w:vMerge/>
          </w:tcPr>
          <w:p w:rsidR="00D84AFF" w:rsidRPr="00B11D68" w:rsidRDefault="00D84AFF">
            <w:pPr>
              <w:rPr>
                <w:sz w:val="20"/>
                <w:szCs w:val="20"/>
              </w:rPr>
            </w:pPr>
          </w:p>
        </w:tc>
        <w:tc>
          <w:tcPr>
            <w:tcW w:w="1479" w:type="dxa"/>
          </w:tcPr>
          <w:p w:rsidR="00D84AFF" w:rsidRDefault="00D84AFF" w:rsidP="00084F66">
            <w:pPr>
              <w:rPr>
                <w:spacing w:val="-2"/>
                <w:sz w:val="20"/>
              </w:rPr>
            </w:pPr>
            <w:r w:rsidRPr="00B11D68">
              <w:rPr>
                <w:rFonts w:cstheme="majorHAnsi"/>
                <w:sz w:val="20"/>
                <w:szCs w:val="20"/>
              </w:rPr>
              <w:t xml:space="preserve">2.2 </w:t>
            </w:r>
            <w:r w:rsidR="00084F66">
              <w:rPr>
                <w:spacing w:val="-2"/>
                <w:sz w:val="20"/>
              </w:rPr>
              <w:t>Finances</w:t>
            </w:r>
            <w:r w:rsidR="00B11D68" w:rsidRPr="00B11D68">
              <w:rPr>
                <w:spacing w:val="-2"/>
                <w:sz w:val="20"/>
              </w:rPr>
              <w:t xml:space="preserve">  </w:t>
            </w:r>
          </w:p>
          <w:p w:rsidR="00084F66" w:rsidRDefault="00084F66" w:rsidP="00084F66">
            <w:pPr>
              <w:rPr>
                <w:i/>
                <w:spacing w:val="-2"/>
                <w:sz w:val="20"/>
              </w:rPr>
            </w:pPr>
            <w:r>
              <w:rPr>
                <w:i/>
                <w:spacing w:val="-2"/>
                <w:sz w:val="20"/>
              </w:rPr>
              <w:t>General</w:t>
            </w: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r>
              <w:rPr>
                <w:i/>
                <w:spacing w:val="-2"/>
                <w:sz w:val="20"/>
              </w:rPr>
              <w:t>Capitation Fee</w:t>
            </w: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7F5005" w:rsidRDefault="007F5005" w:rsidP="00084F66">
            <w:pPr>
              <w:rPr>
                <w:i/>
                <w:spacing w:val="-2"/>
                <w:sz w:val="20"/>
              </w:rPr>
            </w:pPr>
          </w:p>
          <w:p w:rsidR="007F5005" w:rsidRDefault="007F5005" w:rsidP="00084F66">
            <w:pPr>
              <w:rPr>
                <w:i/>
                <w:spacing w:val="-2"/>
                <w:sz w:val="20"/>
              </w:rPr>
            </w:pPr>
          </w:p>
          <w:p w:rsidR="007F5005" w:rsidRDefault="007F5005" w:rsidP="00084F66">
            <w:pPr>
              <w:rPr>
                <w:i/>
                <w:spacing w:val="-2"/>
                <w:sz w:val="20"/>
              </w:rPr>
            </w:pPr>
          </w:p>
          <w:p w:rsidR="007F5005" w:rsidRDefault="007F5005" w:rsidP="00084F66">
            <w:pPr>
              <w:rPr>
                <w:i/>
                <w:spacing w:val="-2"/>
                <w:sz w:val="20"/>
              </w:rPr>
            </w:pPr>
          </w:p>
          <w:p w:rsidR="007F5005" w:rsidRDefault="007F5005" w:rsidP="00084F66">
            <w:pPr>
              <w:rPr>
                <w:i/>
                <w:spacing w:val="-2"/>
                <w:sz w:val="20"/>
              </w:rPr>
            </w:pPr>
          </w:p>
          <w:p w:rsidR="007F5005" w:rsidRDefault="007F5005" w:rsidP="00084F66">
            <w:pPr>
              <w:rPr>
                <w:i/>
                <w:spacing w:val="-2"/>
                <w:sz w:val="20"/>
              </w:rPr>
            </w:pPr>
          </w:p>
          <w:p w:rsidR="007F5005" w:rsidRDefault="007F5005" w:rsidP="00084F66">
            <w:pPr>
              <w:rPr>
                <w:i/>
                <w:spacing w:val="-2"/>
                <w:sz w:val="20"/>
              </w:rPr>
            </w:pPr>
          </w:p>
          <w:p w:rsidR="007F5005" w:rsidRDefault="007F5005" w:rsidP="00084F66">
            <w:pPr>
              <w:rPr>
                <w:i/>
                <w:spacing w:val="-2"/>
                <w:sz w:val="20"/>
              </w:rPr>
            </w:pPr>
          </w:p>
          <w:p w:rsidR="007F5005" w:rsidRDefault="007F5005" w:rsidP="00084F66">
            <w:pPr>
              <w:rPr>
                <w:i/>
                <w:spacing w:val="-2"/>
                <w:sz w:val="20"/>
              </w:rPr>
            </w:pPr>
          </w:p>
          <w:p w:rsidR="007F5005" w:rsidRDefault="007F5005" w:rsidP="00084F66">
            <w:pPr>
              <w:rPr>
                <w:i/>
                <w:spacing w:val="-2"/>
                <w:sz w:val="20"/>
              </w:rPr>
            </w:pPr>
          </w:p>
          <w:p w:rsidR="007F5005" w:rsidRDefault="007F5005" w:rsidP="00084F66">
            <w:pPr>
              <w:rPr>
                <w:i/>
                <w:spacing w:val="-2"/>
                <w:sz w:val="20"/>
              </w:rPr>
            </w:pPr>
          </w:p>
          <w:p w:rsidR="007F5005" w:rsidRDefault="007F5005"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r>
              <w:rPr>
                <w:i/>
                <w:spacing w:val="-2"/>
                <w:sz w:val="20"/>
              </w:rPr>
              <w:t>Surplus</w:t>
            </w: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7F5005" w:rsidP="00084F66">
            <w:pPr>
              <w:rPr>
                <w:i/>
                <w:spacing w:val="-2"/>
                <w:sz w:val="20"/>
              </w:rPr>
            </w:pPr>
            <w:r>
              <w:rPr>
                <w:i/>
                <w:spacing w:val="-2"/>
                <w:sz w:val="20"/>
              </w:rPr>
              <w:t>Financial Reporting</w:t>
            </w: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Default="00084F66" w:rsidP="00084F66">
            <w:pPr>
              <w:rPr>
                <w:i/>
                <w:spacing w:val="-2"/>
                <w:sz w:val="20"/>
              </w:rPr>
            </w:pPr>
          </w:p>
          <w:p w:rsidR="00084F66" w:rsidRPr="00084F66" w:rsidRDefault="00084F66" w:rsidP="00084F66">
            <w:pPr>
              <w:rPr>
                <w:i/>
                <w:sz w:val="20"/>
                <w:szCs w:val="20"/>
              </w:rPr>
            </w:pPr>
          </w:p>
        </w:tc>
        <w:tc>
          <w:tcPr>
            <w:tcW w:w="6585" w:type="dxa"/>
          </w:tcPr>
          <w:p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lastRenderedPageBreak/>
              <w:t>No monetary remuneration or salary is to be afforded any individual involved in the organization and management of the conference except for reimbursement of actual expenses incurred in performing the duties and activities of organizing and/or managing the conference. This requirement does not apply to compensation for the services of a professional meeting organizer if one is utilized.</w:t>
            </w:r>
          </w:p>
          <w:p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The IEA may provide “seed” funds as approved by the IEA Executive.  It is expected that the seed funds be returned to the IEA following the conference along with any other financial return as stipulated below.</w:t>
            </w:r>
          </w:p>
          <w:p w:rsidR="007F5005" w:rsidRPr="00010EF6" w:rsidRDefault="007F5005" w:rsidP="007F5005">
            <w:pPr>
              <w:spacing w:beforeLines="50" w:before="120" w:afterLines="50" w:after="120"/>
              <w:rPr>
                <w:rFonts w:cstheme="majorHAnsi"/>
                <w:sz w:val="20"/>
                <w:szCs w:val="20"/>
              </w:rPr>
            </w:pPr>
            <w:r w:rsidRPr="00010EF6">
              <w:rPr>
                <w:sz w:val="20"/>
                <w:szCs w:val="20"/>
              </w:rPr>
              <w:t>Expenses of any Council appointed representatives on the organizing committee will be the responsibility of the IEA.</w:t>
            </w:r>
          </w:p>
          <w:p w:rsidR="007F5005" w:rsidRDefault="007F5005" w:rsidP="00084F66">
            <w:pPr>
              <w:spacing w:beforeLines="50" w:before="120" w:afterLines="50" w:after="120"/>
              <w:rPr>
                <w:rFonts w:cstheme="majorHAnsi"/>
                <w:sz w:val="20"/>
                <w:szCs w:val="20"/>
              </w:rPr>
            </w:pPr>
          </w:p>
          <w:p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IEA expects to derive some financial benefit from its support of a Supported Conference. This takes the form of a capitation fee</w:t>
            </w:r>
            <w:r w:rsidRPr="00010EF6">
              <w:rPr>
                <w:rFonts w:cstheme="majorHAnsi"/>
                <w:sz w:val="20"/>
                <w:szCs w:val="20"/>
                <w:vertAlign w:val="superscript"/>
              </w:rPr>
              <w:t>1</w:t>
            </w:r>
            <w:r w:rsidRPr="00010EF6">
              <w:rPr>
                <w:rFonts w:cstheme="majorHAnsi"/>
                <w:sz w:val="20"/>
                <w:szCs w:val="20"/>
              </w:rPr>
              <w:t xml:space="preserve"> and a pro-rated fee per part-time registrant.  Every three years, the Council can decide to adjust the amounts to account for inflation.  However, the fee applies that was in place at the moment of endorsement of the conference.</w:t>
            </w:r>
          </w:p>
          <w:p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The number of registrants to be used for assessing the capitation fee is the sum of the number of delegates on each day divided by the number of days of the conference. Thus, for a four day conference, four delegates attending one day would be counted as one full delegate subject to a capitation fee.</w:t>
            </w:r>
          </w:p>
          <w:p w:rsidR="007F5005" w:rsidRDefault="007F5005" w:rsidP="007F5005">
            <w:pPr>
              <w:spacing w:beforeLines="50" w:before="120" w:afterLines="50" w:after="120"/>
              <w:rPr>
                <w:rFonts w:cstheme="majorHAnsi"/>
                <w:sz w:val="20"/>
                <w:szCs w:val="20"/>
              </w:rPr>
            </w:pPr>
            <w:r w:rsidRPr="00010EF6">
              <w:rPr>
                <w:rFonts w:cstheme="majorHAnsi"/>
                <w:sz w:val="20"/>
                <w:szCs w:val="20"/>
              </w:rPr>
              <w:t>In case of financial loss, the Executive Committee may waive the applicable capitation fees.</w:t>
            </w:r>
          </w:p>
          <w:p w:rsidR="007F5005" w:rsidRPr="00010EF6" w:rsidRDefault="007F5005" w:rsidP="007F5005">
            <w:pPr>
              <w:spacing w:beforeLines="50" w:before="120" w:afterLines="50" w:after="120"/>
              <w:rPr>
                <w:rFonts w:cstheme="majorHAnsi"/>
                <w:sz w:val="20"/>
                <w:szCs w:val="20"/>
              </w:rPr>
            </w:pPr>
            <w:r w:rsidRPr="00010EF6">
              <w:rPr>
                <w:rFonts w:cstheme="majorHAnsi"/>
                <w:sz w:val="20"/>
                <w:szCs w:val="20"/>
                <w:vertAlign w:val="superscript"/>
              </w:rPr>
              <w:t>1</w:t>
            </w:r>
            <w:r w:rsidRPr="00010EF6">
              <w:rPr>
                <w:rFonts w:cstheme="majorHAnsi"/>
                <w:sz w:val="20"/>
                <w:szCs w:val="20"/>
              </w:rPr>
              <w:t>The current capitation fee is $14.00 US</w:t>
            </w:r>
          </w:p>
          <w:p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 xml:space="preserve">Where the capitation fees constitute a significant concern to the applicant society or conference organizer, the capitation fees may be replaced by an alternative scheme to be negotiated on an individual basis. This will require a careful analysis of the conference budget. The Executive Committee may waive, at its discretion, the capitation fees for conferences held in industrially developing countries or for delegates from industrially developing countries. </w:t>
            </w:r>
            <w:r w:rsidRPr="00010EF6">
              <w:rPr>
                <w:rFonts w:cstheme="majorHAnsi"/>
                <w:sz w:val="20"/>
                <w:szCs w:val="20"/>
              </w:rPr>
              <w:lastRenderedPageBreak/>
              <w:t>Application for waivers will be considered for each conference on an individual basis.</w:t>
            </w:r>
          </w:p>
          <w:p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In case of financial loss, the Executive Committee may waive the applicable capitation fees.</w:t>
            </w:r>
          </w:p>
          <w:p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The IEA encourages a portion of profits to be donated to the IEA for the purpose of establishing an IEA fund in the name of the conference organizers. The terms and conditions of the Fund shall be proposed by the conference organizers and approved by the IEA Executive Committee.</w:t>
            </w:r>
          </w:p>
          <w:p w:rsidR="007F5005" w:rsidRDefault="007F5005" w:rsidP="00084F66">
            <w:pPr>
              <w:spacing w:beforeLines="50" w:before="120" w:afterLines="50" w:after="120"/>
              <w:rPr>
                <w:rFonts w:cstheme="majorHAnsi"/>
                <w:sz w:val="20"/>
                <w:szCs w:val="20"/>
              </w:rPr>
            </w:pPr>
          </w:p>
          <w:p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The IEA requires that comprehensive financial reports be completed and filed with the Treasurer within four (4) months after the conference or within a time frame agreed upon by the Treasurer and conference organizers.</w:t>
            </w:r>
          </w:p>
          <w:p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 xml:space="preserve">The return to the IEA will be the financial advance plus the capitation fee per full paying registrant. </w:t>
            </w:r>
          </w:p>
          <w:p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Any financial return to the IEA shall be provided with these reports.</w:t>
            </w:r>
          </w:p>
          <w:p w:rsidR="00D84AFF" w:rsidRPr="00B11D68" w:rsidRDefault="00D84AFF" w:rsidP="00084F66">
            <w:pPr>
              <w:spacing w:beforeLines="50" w:before="120" w:afterLines="50" w:after="120"/>
              <w:rPr>
                <w:rFonts w:cstheme="majorHAnsi"/>
                <w:sz w:val="20"/>
                <w:szCs w:val="20"/>
              </w:rPr>
            </w:pPr>
          </w:p>
        </w:tc>
      </w:tr>
      <w:tr w:rsidR="00D84AFF" w:rsidRPr="00B11D68" w:rsidTr="00462D88">
        <w:tc>
          <w:tcPr>
            <w:tcW w:w="1512" w:type="dxa"/>
            <w:vMerge/>
          </w:tcPr>
          <w:p w:rsidR="00D84AFF" w:rsidRPr="00B11D68" w:rsidRDefault="00D84AFF">
            <w:pPr>
              <w:rPr>
                <w:sz w:val="20"/>
                <w:szCs w:val="20"/>
              </w:rPr>
            </w:pPr>
          </w:p>
        </w:tc>
        <w:tc>
          <w:tcPr>
            <w:tcW w:w="1479" w:type="dxa"/>
          </w:tcPr>
          <w:p w:rsidR="00D84AFF" w:rsidRPr="00B11D68" w:rsidRDefault="00D84AFF" w:rsidP="00084F66">
            <w:pPr>
              <w:rPr>
                <w:sz w:val="20"/>
                <w:szCs w:val="20"/>
              </w:rPr>
            </w:pPr>
            <w:r w:rsidRPr="00B11D68">
              <w:rPr>
                <w:rFonts w:cstheme="majorHAnsi"/>
                <w:sz w:val="20"/>
                <w:szCs w:val="20"/>
              </w:rPr>
              <w:t xml:space="preserve">2.3 </w:t>
            </w:r>
            <w:r w:rsidR="00084F66">
              <w:rPr>
                <w:spacing w:val="-2"/>
                <w:sz w:val="20"/>
              </w:rPr>
              <w:t>Promotion</w:t>
            </w:r>
          </w:p>
        </w:tc>
        <w:tc>
          <w:tcPr>
            <w:tcW w:w="6585" w:type="dxa"/>
          </w:tcPr>
          <w:p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The IEA will help promote the Congress through the following means:</w:t>
            </w:r>
          </w:p>
          <w:p w:rsidR="007F5005" w:rsidRPr="00010EF6" w:rsidRDefault="007F5005" w:rsidP="007F5005">
            <w:pPr>
              <w:pStyle w:val="ListParagraph"/>
              <w:widowControl w:val="0"/>
              <w:numPr>
                <w:ilvl w:val="0"/>
                <w:numId w:val="8"/>
              </w:numPr>
              <w:spacing w:beforeLines="50" w:before="120" w:afterLines="50" w:after="120"/>
              <w:contextualSpacing w:val="0"/>
              <w:jc w:val="both"/>
              <w:rPr>
                <w:rFonts w:cstheme="majorHAnsi"/>
                <w:sz w:val="20"/>
                <w:szCs w:val="20"/>
              </w:rPr>
            </w:pPr>
            <w:r w:rsidRPr="00010EF6">
              <w:rPr>
                <w:rFonts w:cstheme="majorHAnsi"/>
                <w:sz w:val="20"/>
                <w:szCs w:val="20"/>
              </w:rPr>
              <w:t>The IEA will provide the IEA logo for use in promotional material;</w:t>
            </w:r>
          </w:p>
          <w:p w:rsidR="007F5005" w:rsidRPr="00010EF6" w:rsidRDefault="007F5005" w:rsidP="007F5005">
            <w:pPr>
              <w:pStyle w:val="ListParagraph"/>
              <w:widowControl w:val="0"/>
              <w:numPr>
                <w:ilvl w:val="0"/>
                <w:numId w:val="8"/>
              </w:numPr>
              <w:spacing w:beforeLines="50" w:before="120" w:afterLines="50" w:after="120"/>
              <w:contextualSpacing w:val="0"/>
              <w:jc w:val="both"/>
              <w:rPr>
                <w:rFonts w:cstheme="majorHAnsi"/>
                <w:sz w:val="20"/>
                <w:szCs w:val="20"/>
              </w:rPr>
            </w:pPr>
            <w:r w:rsidRPr="00010EF6">
              <w:rPr>
                <w:rFonts w:cstheme="majorHAnsi"/>
                <w:sz w:val="20"/>
                <w:szCs w:val="20"/>
              </w:rPr>
              <w:t>Scientific support from the IEA Technical Committees to organize sessions and promote subject areas;</w:t>
            </w:r>
          </w:p>
          <w:p w:rsidR="007F5005" w:rsidRPr="00010EF6" w:rsidRDefault="007F5005" w:rsidP="007F5005">
            <w:pPr>
              <w:pStyle w:val="ListParagraph"/>
              <w:widowControl w:val="0"/>
              <w:numPr>
                <w:ilvl w:val="0"/>
                <w:numId w:val="8"/>
              </w:numPr>
              <w:spacing w:beforeLines="50" w:before="120" w:afterLines="50" w:after="120"/>
              <w:contextualSpacing w:val="0"/>
              <w:jc w:val="both"/>
              <w:rPr>
                <w:rFonts w:cstheme="majorHAnsi"/>
                <w:sz w:val="20"/>
                <w:szCs w:val="20"/>
              </w:rPr>
            </w:pPr>
            <w:r w:rsidRPr="00010EF6">
              <w:rPr>
                <w:rFonts w:cstheme="majorHAnsi"/>
                <w:sz w:val="20"/>
                <w:szCs w:val="20"/>
              </w:rPr>
              <w:t>Listing the congress in the IEA website and providing a link;</w:t>
            </w:r>
          </w:p>
          <w:p w:rsidR="007F5005" w:rsidRPr="00010EF6" w:rsidRDefault="007F5005" w:rsidP="007F5005">
            <w:pPr>
              <w:pStyle w:val="ListParagraph"/>
              <w:widowControl w:val="0"/>
              <w:numPr>
                <w:ilvl w:val="0"/>
                <w:numId w:val="8"/>
              </w:numPr>
              <w:spacing w:beforeLines="50" w:before="120" w:afterLines="50" w:after="120"/>
              <w:contextualSpacing w:val="0"/>
              <w:jc w:val="both"/>
              <w:rPr>
                <w:rFonts w:cstheme="majorHAnsi"/>
                <w:sz w:val="20"/>
                <w:szCs w:val="20"/>
              </w:rPr>
            </w:pPr>
            <w:r w:rsidRPr="00010EF6">
              <w:rPr>
                <w:rFonts w:cstheme="majorHAnsi"/>
                <w:sz w:val="20"/>
                <w:szCs w:val="20"/>
              </w:rPr>
              <w:t>Advertising the congress in the IEA communications;</w:t>
            </w:r>
          </w:p>
          <w:p w:rsidR="007F5005" w:rsidRPr="00010EF6" w:rsidRDefault="007F5005" w:rsidP="007F5005">
            <w:pPr>
              <w:pStyle w:val="ListParagraph"/>
              <w:widowControl w:val="0"/>
              <w:numPr>
                <w:ilvl w:val="0"/>
                <w:numId w:val="8"/>
              </w:numPr>
              <w:spacing w:beforeLines="50" w:before="120" w:afterLines="50" w:after="120"/>
              <w:contextualSpacing w:val="0"/>
              <w:jc w:val="both"/>
              <w:rPr>
                <w:rFonts w:cstheme="majorHAnsi"/>
                <w:sz w:val="20"/>
                <w:szCs w:val="20"/>
              </w:rPr>
            </w:pPr>
            <w:r w:rsidRPr="00010EF6">
              <w:rPr>
                <w:rFonts w:cstheme="majorHAnsi"/>
                <w:sz w:val="20"/>
                <w:szCs w:val="20"/>
              </w:rPr>
              <w:t>Requesting IEA Federated and Affiliated Societies, Sustaining members and endorsed journals to advertise the congress through the following means;</w:t>
            </w:r>
          </w:p>
          <w:p w:rsidR="007F5005" w:rsidRPr="00010EF6" w:rsidRDefault="007F5005" w:rsidP="007F5005">
            <w:pPr>
              <w:pStyle w:val="ListParagraph"/>
              <w:widowControl w:val="0"/>
              <w:numPr>
                <w:ilvl w:val="1"/>
                <w:numId w:val="8"/>
              </w:numPr>
              <w:spacing w:beforeLines="50" w:before="120" w:afterLines="50" w:after="120"/>
              <w:contextualSpacing w:val="0"/>
              <w:jc w:val="both"/>
              <w:rPr>
                <w:rFonts w:cstheme="majorHAnsi"/>
                <w:sz w:val="20"/>
                <w:szCs w:val="20"/>
              </w:rPr>
            </w:pPr>
            <w:r w:rsidRPr="00010EF6">
              <w:rPr>
                <w:rFonts w:cstheme="majorHAnsi"/>
                <w:sz w:val="20"/>
                <w:szCs w:val="20"/>
              </w:rPr>
              <w:t>Listing of the congress in the calendar section of their publications including a description or call for participation in their newsletter; and</w:t>
            </w:r>
          </w:p>
          <w:p w:rsidR="007F5005" w:rsidRPr="00010EF6" w:rsidRDefault="007F5005" w:rsidP="007F5005">
            <w:pPr>
              <w:pStyle w:val="ListParagraph"/>
              <w:widowControl w:val="0"/>
              <w:numPr>
                <w:ilvl w:val="1"/>
                <w:numId w:val="8"/>
              </w:numPr>
              <w:spacing w:beforeLines="50" w:before="120" w:afterLines="50" w:after="120"/>
              <w:contextualSpacing w:val="0"/>
              <w:jc w:val="both"/>
              <w:rPr>
                <w:rFonts w:cstheme="majorHAnsi"/>
                <w:sz w:val="20"/>
                <w:szCs w:val="20"/>
              </w:rPr>
            </w:pPr>
            <w:r w:rsidRPr="00010EF6">
              <w:rPr>
                <w:rFonts w:cstheme="majorHAnsi"/>
                <w:sz w:val="20"/>
                <w:szCs w:val="20"/>
              </w:rPr>
              <w:t>Distributing promotional material such as call for papers and announcements to its members (or at their annual conference).</w:t>
            </w:r>
          </w:p>
          <w:p w:rsidR="00B11D68" w:rsidRPr="00B11D68" w:rsidRDefault="00B11D68" w:rsidP="00B11D68">
            <w:pPr>
              <w:ind w:left="567"/>
              <w:jc w:val="both"/>
              <w:rPr>
                <w:i/>
                <w:spacing w:val="-2"/>
                <w:sz w:val="20"/>
              </w:rPr>
            </w:pPr>
          </w:p>
        </w:tc>
      </w:tr>
      <w:tr w:rsidR="00084F66" w:rsidRPr="00B11D68" w:rsidTr="00462D88">
        <w:tc>
          <w:tcPr>
            <w:tcW w:w="1512" w:type="dxa"/>
          </w:tcPr>
          <w:p w:rsidR="00084F66" w:rsidRPr="00B11D68" w:rsidRDefault="00084F66">
            <w:pPr>
              <w:rPr>
                <w:sz w:val="20"/>
                <w:szCs w:val="20"/>
              </w:rPr>
            </w:pPr>
          </w:p>
        </w:tc>
        <w:tc>
          <w:tcPr>
            <w:tcW w:w="1479" w:type="dxa"/>
          </w:tcPr>
          <w:p w:rsidR="00084F66" w:rsidRPr="00B11D68" w:rsidRDefault="00084F66" w:rsidP="007F5005">
            <w:pPr>
              <w:rPr>
                <w:rFonts w:cstheme="majorHAnsi"/>
                <w:sz w:val="20"/>
                <w:szCs w:val="20"/>
              </w:rPr>
            </w:pPr>
            <w:r>
              <w:rPr>
                <w:rFonts w:cstheme="majorHAnsi"/>
                <w:sz w:val="20"/>
                <w:szCs w:val="20"/>
              </w:rPr>
              <w:t xml:space="preserve">2.4 </w:t>
            </w:r>
            <w:r w:rsidR="007F5005">
              <w:rPr>
                <w:rFonts w:cstheme="majorHAnsi"/>
                <w:sz w:val="20"/>
                <w:szCs w:val="20"/>
              </w:rPr>
              <w:t>Submission of proposal</w:t>
            </w:r>
          </w:p>
        </w:tc>
        <w:tc>
          <w:tcPr>
            <w:tcW w:w="6585" w:type="dxa"/>
          </w:tcPr>
          <w:p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A proposal to host an IEA Sponsored Conference is usually submitted by a Committee or Technical Group of the IEA, other groups, or by individuals. The proposal should acknowledge the IEA policies herein provided and should provide details relating to the organization and technical program. Those wishing to submit proposals should contact the Chair of the Science and Technology Committee for the submission form.</w:t>
            </w:r>
          </w:p>
          <w:p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 xml:space="preserve">The submission should include the conference title, organizer names and contact information, a description of the conference vision and objectives, financial sponsor, format of the conference, venue information, and where </w:t>
            </w:r>
            <w:r w:rsidRPr="00010EF6">
              <w:rPr>
                <w:rFonts w:cstheme="majorHAnsi"/>
                <w:sz w:val="20"/>
                <w:szCs w:val="20"/>
              </w:rPr>
              <w:lastRenderedPageBreak/>
              <w:t>applicable, accommodation information.</w:t>
            </w:r>
          </w:p>
          <w:p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All proposals to sponsor an IEA Sponsored Conference must be coordinated with and approved by the Federated Society in whose jurisdiction the conference will be held, and, if applicable, approved by the local ergonomics society as well. The following criteria will apply:</w:t>
            </w:r>
          </w:p>
          <w:p w:rsidR="007F5005" w:rsidRPr="00010EF6" w:rsidRDefault="007F5005" w:rsidP="007F5005">
            <w:pPr>
              <w:pStyle w:val="ListParagraph"/>
              <w:widowControl w:val="0"/>
              <w:numPr>
                <w:ilvl w:val="0"/>
                <w:numId w:val="20"/>
              </w:numPr>
              <w:spacing w:beforeLines="50" w:before="120" w:afterLines="50" w:after="120"/>
              <w:contextualSpacing w:val="0"/>
              <w:jc w:val="both"/>
              <w:rPr>
                <w:rFonts w:cstheme="majorHAnsi"/>
                <w:sz w:val="20"/>
                <w:szCs w:val="20"/>
              </w:rPr>
            </w:pPr>
            <w:r w:rsidRPr="00010EF6">
              <w:rPr>
                <w:rFonts w:cstheme="majorHAnsi"/>
                <w:sz w:val="20"/>
                <w:szCs w:val="20"/>
              </w:rPr>
              <w:t>IEA Sponsored Conferences may have narrow scientific themes or specialized interests (i.e., ergonomics in industrially developing countries), but they should be international and intercontinental in scope. Theme speakers should be drawn from different national and continental backgrounds.</w:t>
            </w:r>
          </w:p>
          <w:p w:rsidR="007F5005" w:rsidRPr="00010EF6" w:rsidRDefault="007F5005" w:rsidP="007F5005">
            <w:pPr>
              <w:pStyle w:val="ListParagraph"/>
              <w:widowControl w:val="0"/>
              <w:numPr>
                <w:ilvl w:val="0"/>
                <w:numId w:val="20"/>
              </w:numPr>
              <w:spacing w:beforeLines="50" w:before="120" w:afterLines="50" w:after="120"/>
              <w:contextualSpacing w:val="0"/>
              <w:jc w:val="both"/>
              <w:rPr>
                <w:rFonts w:cstheme="majorHAnsi"/>
                <w:sz w:val="20"/>
                <w:szCs w:val="20"/>
              </w:rPr>
            </w:pPr>
            <w:r w:rsidRPr="00010EF6">
              <w:rPr>
                <w:rFonts w:cstheme="majorHAnsi"/>
                <w:sz w:val="20"/>
                <w:szCs w:val="20"/>
              </w:rPr>
              <w:t>Since IEA Sponsored Conferences may have a narrower scope, no specific length is prescribed.</w:t>
            </w:r>
          </w:p>
          <w:p w:rsidR="007F5005" w:rsidRPr="00010EF6" w:rsidRDefault="007F5005" w:rsidP="007F5005">
            <w:pPr>
              <w:pStyle w:val="ListParagraph"/>
              <w:widowControl w:val="0"/>
              <w:numPr>
                <w:ilvl w:val="0"/>
                <w:numId w:val="20"/>
              </w:numPr>
              <w:spacing w:beforeLines="50" w:before="120" w:afterLines="50" w:after="120"/>
              <w:contextualSpacing w:val="0"/>
              <w:jc w:val="both"/>
              <w:rPr>
                <w:rFonts w:cstheme="majorHAnsi"/>
                <w:sz w:val="20"/>
                <w:szCs w:val="20"/>
              </w:rPr>
            </w:pPr>
            <w:r w:rsidRPr="00010EF6">
              <w:rPr>
                <w:rFonts w:cstheme="majorHAnsi"/>
                <w:sz w:val="20"/>
                <w:szCs w:val="20"/>
              </w:rPr>
              <w:t>There must be no restriction on the attendance of delegates, members, participants or visitors to an IEA Sponsored Conference by reason of national or racial origin, political or religious beliefs, gender or age. Consideration should be given to accommodating the special needs of handicapped and elderly persons. The proposal should indicate the total expected, or planned attendance.</w:t>
            </w:r>
          </w:p>
          <w:p w:rsidR="007F5005" w:rsidRPr="00010EF6" w:rsidRDefault="007F5005" w:rsidP="007F5005">
            <w:pPr>
              <w:pStyle w:val="ListParagraph"/>
              <w:widowControl w:val="0"/>
              <w:numPr>
                <w:ilvl w:val="0"/>
                <w:numId w:val="20"/>
              </w:numPr>
              <w:spacing w:beforeLines="50" w:before="120" w:afterLines="50" w:after="120"/>
              <w:contextualSpacing w:val="0"/>
              <w:jc w:val="both"/>
              <w:rPr>
                <w:rFonts w:cstheme="majorHAnsi"/>
                <w:sz w:val="20"/>
                <w:szCs w:val="20"/>
              </w:rPr>
            </w:pPr>
            <w:r w:rsidRPr="00010EF6">
              <w:rPr>
                <w:rFonts w:cstheme="majorHAnsi"/>
                <w:sz w:val="20"/>
                <w:szCs w:val="20"/>
              </w:rPr>
              <w:t>The proposal should indicate agreement with the financial arrangements as described herein. The IEA may provide a financial advance in the form of seed money to the organizing committee, the amount to be determined by the IEA Executive. Revenue sources in addition to registration fees (i.e. sponsorships, exhibits, etc.) are to be encouraged. Also, if a large attendance is anticipated, the use of professional organizers should be considered, particularly if they offer services in a variety of languages.</w:t>
            </w:r>
          </w:p>
          <w:p w:rsidR="007F5005" w:rsidRPr="00010EF6" w:rsidRDefault="007F5005" w:rsidP="007F5005">
            <w:pPr>
              <w:spacing w:beforeLines="50" w:before="120" w:afterLines="50" w:after="120"/>
              <w:rPr>
                <w:rFonts w:cstheme="majorHAnsi"/>
                <w:sz w:val="20"/>
                <w:szCs w:val="20"/>
              </w:rPr>
            </w:pPr>
          </w:p>
          <w:p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If an annual meeting of the Council or a midyear meeting of the Executive Committee is to be held in conjunction with the conference, it is recommended that the registration fee for the Officers be waived. Standing committee chairs and the members of the Council should be offered a discount on the conference fee and consideration be given to helping offset their travel expenses. The organizers, in their discretion, may wish to consider reduced registration fees for special populations (i.e., Federated Society members, sponsoring organization members, registrants from industrially developing countries, and/or student registrants).</w:t>
            </w:r>
          </w:p>
          <w:p w:rsidR="00084F66" w:rsidRPr="007F5005" w:rsidRDefault="00084F66" w:rsidP="007F5005">
            <w:pPr>
              <w:widowControl w:val="0"/>
              <w:jc w:val="both"/>
              <w:rPr>
                <w:sz w:val="20"/>
                <w:szCs w:val="20"/>
              </w:rPr>
            </w:pPr>
          </w:p>
        </w:tc>
      </w:tr>
    </w:tbl>
    <w:p w:rsidR="00D92391" w:rsidRDefault="00D92391"/>
    <w:sectPr w:rsidR="00D92391">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E8A" w:rsidRDefault="00D67E8A" w:rsidP="00D06051">
      <w:pPr>
        <w:spacing w:after="0" w:line="240" w:lineRule="auto"/>
      </w:pPr>
      <w:r>
        <w:separator/>
      </w:r>
    </w:p>
  </w:endnote>
  <w:endnote w:type="continuationSeparator" w:id="0">
    <w:p w:rsidR="00D67E8A" w:rsidRDefault="00D67E8A"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astResort">
    <w:altName w:val="Times New Roman"/>
    <w:charset w:val="00"/>
    <w:family w:val="auto"/>
    <w:pitch w:val="variable"/>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Look w:val="04A0" w:firstRow="1" w:lastRow="0" w:firstColumn="1" w:lastColumn="0" w:noHBand="0" w:noVBand="1"/>
    </w:tblPr>
    <w:tblGrid>
      <w:gridCol w:w="2943"/>
      <w:gridCol w:w="2694"/>
      <w:gridCol w:w="3939"/>
    </w:tblGrid>
    <w:tr w:rsidR="0027239B" w:rsidTr="0027239B">
      <w:tc>
        <w:tcPr>
          <w:tcW w:w="2943" w:type="dxa"/>
        </w:tcPr>
        <w:p w:rsidR="0027239B" w:rsidRDefault="0027239B" w:rsidP="00084F66">
          <w:pPr>
            <w:pStyle w:val="Footer"/>
          </w:pPr>
          <w:r>
            <w:t xml:space="preserve">Date Approved: </w:t>
          </w:r>
          <w:r w:rsidR="00084F66">
            <w:t>2014-06-23</w:t>
          </w:r>
        </w:p>
      </w:tc>
      <w:tc>
        <w:tcPr>
          <w:tcW w:w="2694" w:type="dxa"/>
        </w:tcPr>
        <w:p w:rsidR="0027239B" w:rsidRDefault="0027239B" w:rsidP="00084F66">
          <w:pPr>
            <w:pStyle w:val="Footer"/>
          </w:pPr>
          <w:r>
            <w:t xml:space="preserve">Review Date: </w:t>
          </w:r>
          <w:r w:rsidR="00084F66">
            <w:t>2014-06-23</w:t>
          </w:r>
        </w:p>
      </w:tc>
      <w:tc>
        <w:tcPr>
          <w:tcW w:w="3939" w:type="dxa"/>
        </w:tcPr>
        <w:p w:rsidR="0027239B" w:rsidRDefault="0027239B" w:rsidP="00FB6EB0">
          <w:pPr>
            <w:pStyle w:val="Footer"/>
          </w:pPr>
          <w:r>
            <w:t>Responsible:</w:t>
          </w:r>
          <w:r w:rsidR="00B11D68">
            <w:t xml:space="preserve"> </w:t>
          </w:r>
          <w:r w:rsidR="00084F66">
            <w:t>IEA Council</w:t>
          </w:r>
        </w:p>
      </w:tc>
    </w:tr>
  </w:tbl>
  <w:p w:rsidR="0027239B" w:rsidRDefault="002723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E8A" w:rsidRDefault="00D67E8A" w:rsidP="00D06051">
      <w:pPr>
        <w:spacing w:after="0" w:line="240" w:lineRule="auto"/>
      </w:pPr>
      <w:r>
        <w:separator/>
      </w:r>
    </w:p>
  </w:footnote>
  <w:footnote w:type="continuationSeparator" w:id="0">
    <w:p w:rsidR="00D67E8A" w:rsidRDefault="00D67E8A" w:rsidP="00D060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Look w:val="04A0" w:firstRow="1" w:lastRow="0" w:firstColumn="1" w:lastColumn="0" w:noHBand="0" w:noVBand="1"/>
    </w:tblPr>
    <w:tblGrid>
      <w:gridCol w:w="3192"/>
      <w:gridCol w:w="3192"/>
      <w:gridCol w:w="3192"/>
    </w:tblGrid>
    <w:tr w:rsidR="00D06051" w:rsidTr="00D06051">
      <w:tc>
        <w:tcPr>
          <w:tcW w:w="3192" w:type="dxa"/>
          <w:tcBorders>
            <w:top w:val="nil"/>
            <w:left w:val="nil"/>
            <w:right w:val="nil"/>
          </w:tcBorders>
        </w:tcPr>
        <w:p w:rsidR="00D06051" w:rsidRDefault="00D06051" w:rsidP="00D06051">
          <w:pPr>
            <w:pStyle w:val="Header"/>
          </w:pPr>
          <w:r>
            <w:rPr>
              <w:noProof/>
              <w:lang w:eastAsia="en-CA"/>
            </w:rPr>
            <w:drawing>
              <wp:inline distT="0" distB="0" distL="0" distR="0" wp14:anchorId="41AFACB8" wp14:editId="0B81E730">
                <wp:extent cx="992038" cy="476178"/>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EA_logo 300.jpg"/>
                        <pic:cNvPicPr/>
                      </pic:nvPicPr>
                      <pic:blipFill>
                        <a:blip r:embed="rId1">
                          <a:extLst>
                            <a:ext uri="{28A0092B-C50C-407E-A947-70E740481C1C}">
                              <a14:useLocalDpi xmlns:a14="http://schemas.microsoft.com/office/drawing/2010/main" val="0"/>
                            </a:ext>
                          </a:extLst>
                        </a:blip>
                        <a:stretch>
                          <a:fillRect/>
                        </a:stretch>
                      </pic:blipFill>
                      <pic:spPr>
                        <a:xfrm>
                          <a:off x="0" y="0"/>
                          <a:ext cx="994579" cy="477398"/>
                        </a:xfrm>
                        <a:prstGeom prst="rect">
                          <a:avLst/>
                        </a:prstGeom>
                      </pic:spPr>
                    </pic:pic>
                  </a:graphicData>
                </a:graphic>
              </wp:inline>
            </w:drawing>
          </w:r>
        </w:p>
      </w:tc>
      <w:tc>
        <w:tcPr>
          <w:tcW w:w="3192" w:type="dxa"/>
          <w:tcBorders>
            <w:top w:val="nil"/>
            <w:left w:val="nil"/>
            <w:right w:val="nil"/>
          </w:tcBorders>
        </w:tcPr>
        <w:p w:rsidR="00D06051" w:rsidRDefault="00D06051" w:rsidP="00D06051">
          <w:pPr>
            <w:pStyle w:val="Header"/>
            <w:jc w:val="center"/>
            <w:rPr>
              <w:b/>
            </w:rPr>
          </w:pPr>
          <w:r>
            <w:rPr>
              <w:b/>
            </w:rPr>
            <w:t>Operating Procedures</w:t>
          </w:r>
        </w:p>
        <w:p w:rsidR="00D06051" w:rsidRPr="00D06051" w:rsidRDefault="00D06051" w:rsidP="00D06051">
          <w:pPr>
            <w:pStyle w:val="Header"/>
            <w:jc w:val="center"/>
            <w:rPr>
              <w:b/>
            </w:rPr>
          </w:pPr>
        </w:p>
      </w:tc>
      <w:tc>
        <w:tcPr>
          <w:tcW w:w="3192" w:type="dxa"/>
          <w:tcBorders>
            <w:top w:val="nil"/>
            <w:left w:val="nil"/>
            <w:right w:val="nil"/>
          </w:tcBorders>
        </w:tcPr>
        <w:p w:rsidR="00D06051" w:rsidRDefault="00D06051" w:rsidP="00D06051">
          <w:pPr>
            <w:pStyle w:val="Header"/>
          </w:pPr>
          <w:r>
            <w:t>OP-</w:t>
          </w:r>
          <w:r w:rsidR="00BB05A0">
            <w:t xml:space="preserve">IEA </w:t>
          </w:r>
          <w:r w:rsidR="007F5005">
            <w:t>Sponsored Conferences</w:t>
          </w:r>
        </w:p>
        <w:p w:rsidR="00D06051" w:rsidRDefault="00D06051" w:rsidP="00D06051">
          <w:pPr>
            <w:pStyle w:val="Header"/>
            <w:jc w:val="right"/>
          </w:pPr>
          <w:r>
            <w:t xml:space="preserve">Page </w:t>
          </w:r>
          <w:r>
            <w:rPr>
              <w:b/>
            </w:rPr>
            <w:fldChar w:fldCharType="begin"/>
          </w:r>
          <w:r>
            <w:rPr>
              <w:b/>
            </w:rPr>
            <w:instrText xml:space="preserve"> PAGE  \* Arabic  \* MERGEFORMAT </w:instrText>
          </w:r>
          <w:r>
            <w:rPr>
              <w:b/>
            </w:rPr>
            <w:fldChar w:fldCharType="separate"/>
          </w:r>
          <w:r w:rsidR="007F5005">
            <w:rPr>
              <w:b/>
              <w:noProof/>
            </w:rPr>
            <w:t>1</w:t>
          </w:r>
          <w:r>
            <w:rPr>
              <w:b/>
            </w:rPr>
            <w:fldChar w:fldCharType="end"/>
          </w:r>
          <w:r>
            <w:t xml:space="preserve"> of </w:t>
          </w:r>
          <w:r>
            <w:rPr>
              <w:b/>
            </w:rPr>
            <w:fldChar w:fldCharType="begin"/>
          </w:r>
          <w:r>
            <w:rPr>
              <w:b/>
            </w:rPr>
            <w:instrText xml:space="preserve"> NUMPAGES  \* Arabic  \* MERGEFORMAT </w:instrText>
          </w:r>
          <w:r>
            <w:rPr>
              <w:b/>
            </w:rPr>
            <w:fldChar w:fldCharType="separate"/>
          </w:r>
          <w:r w:rsidR="007F5005">
            <w:rPr>
              <w:b/>
              <w:noProof/>
            </w:rPr>
            <w:t>3</w:t>
          </w:r>
          <w:r>
            <w:rPr>
              <w:b/>
            </w:rPr>
            <w:fldChar w:fldCharType="end"/>
          </w:r>
        </w:p>
      </w:tc>
    </w:tr>
    <w:tr w:rsidR="00D06051" w:rsidTr="00D06051">
      <w:tc>
        <w:tcPr>
          <w:tcW w:w="3192" w:type="dxa"/>
        </w:tcPr>
        <w:p w:rsidR="00D06051" w:rsidRDefault="00D06051" w:rsidP="00D06051">
          <w:pPr>
            <w:pStyle w:val="Header"/>
            <w:rPr>
              <w:noProof/>
              <w:lang w:eastAsia="en-CA"/>
            </w:rPr>
          </w:pPr>
        </w:p>
      </w:tc>
      <w:tc>
        <w:tcPr>
          <w:tcW w:w="3192" w:type="dxa"/>
        </w:tcPr>
        <w:p w:rsidR="00D06051" w:rsidRDefault="00D06051" w:rsidP="00D06051">
          <w:pPr>
            <w:pStyle w:val="Header"/>
          </w:pPr>
          <w:r>
            <w:t>Subject:</w:t>
          </w:r>
        </w:p>
        <w:p w:rsidR="00D06051" w:rsidRDefault="00BB05A0" w:rsidP="007F5005">
          <w:pPr>
            <w:pStyle w:val="Header"/>
            <w:jc w:val="center"/>
            <w:rPr>
              <w:b/>
            </w:rPr>
          </w:pPr>
          <w:r>
            <w:rPr>
              <w:b/>
            </w:rPr>
            <w:t xml:space="preserve">IEA </w:t>
          </w:r>
          <w:r w:rsidR="007F5005">
            <w:rPr>
              <w:b/>
            </w:rPr>
            <w:t>Sponsored Conferences</w:t>
          </w:r>
        </w:p>
      </w:tc>
      <w:tc>
        <w:tcPr>
          <w:tcW w:w="3192" w:type="dxa"/>
        </w:tcPr>
        <w:p w:rsidR="00D06051" w:rsidRDefault="00D06051" w:rsidP="00D06051">
          <w:pPr>
            <w:pStyle w:val="Header"/>
          </w:pPr>
          <w:r>
            <w:t>Date approved:</w:t>
          </w:r>
        </w:p>
        <w:p w:rsidR="00D06051" w:rsidRDefault="00BB05A0" w:rsidP="00D06051">
          <w:pPr>
            <w:pStyle w:val="Header"/>
            <w:jc w:val="center"/>
          </w:pPr>
          <w:r>
            <w:t>2014-06-23</w:t>
          </w:r>
        </w:p>
      </w:tc>
    </w:tr>
  </w:tbl>
  <w:p w:rsidR="00D06051" w:rsidRDefault="00D060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nsid w:val="09D97747"/>
    <w:multiLevelType w:val="hybridMultilevel"/>
    <w:tmpl w:val="76C03FB2"/>
    <w:lvl w:ilvl="0" w:tplc="EF005542">
      <w:numFmt w:val="bullet"/>
      <w:lvlText w:val="-"/>
      <w:lvlJc w:val="left"/>
      <w:pPr>
        <w:ind w:left="420" w:hanging="420"/>
      </w:pPr>
      <w:rPr>
        <w:rFonts w:ascii="Arial" w:eastAsiaTheme="minorEastAsia" w:hAnsi="Arial" w:cs="Arial"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2E983BC2"/>
    <w:multiLevelType w:val="hybridMultilevel"/>
    <w:tmpl w:val="247ABD1E"/>
    <w:lvl w:ilvl="0" w:tplc="E2B4C168">
      <w:start w:val="1"/>
      <w:numFmt w:val="decimal"/>
      <w:lvlText w:val="%1."/>
      <w:lvlJc w:val="left"/>
      <w:pPr>
        <w:ind w:left="900" w:hanging="480"/>
      </w:pPr>
      <w:rPr>
        <w:rFonts w:asciiTheme="minorHAnsi" w:eastAsiaTheme="minorHAnsi" w:hAnsiTheme="minorHAnsi" w:cstheme="minorBidi"/>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nsid w:val="3C1D67F4"/>
    <w:multiLevelType w:val="hybridMultilevel"/>
    <w:tmpl w:val="88BE8060"/>
    <w:lvl w:ilvl="0" w:tplc="00000000">
      <w:start w:val="3"/>
      <w:numFmt w:val="bullet"/>
      <w:lvlText w:val="-"/>
      <w:lvlJc w:val="left"/>
      <w:pPr>
        <w:ind w:left="1320" w:hanging="420"/>
      </w:pPr>
      <w:rPr>
        <w:rFonts w:ascii="Times New Roman" w:hAnsi="Times New Roman" w:hint="default"/>
      </w:rPr>
    </w:lvl>
    <w:lvl w:ilvl="1" w:tplc="0409000B" w:tentative="1">
      <w:start w:val="1"/>
      <w:numFmt w:val="bullet"/>
      <w:lvlText w:val=""/>
      <w:lvlJc w:val="left"/>
      <w:pPr>
        <w:ind w:left="1740" w:hanging="420"/>
      </w:pPr>
      <w:rPr>
        <w:rFonts w:ascii="Wingdings" w:hAnsi="Wingdings" w:hint="default"/>
      </w:rPr>
    </w:lvl>
    <w:lvl w:ilvl="2" w:tplc="0409000D" w:tentative="1">
      <w:start w:val="1"/>
      <w:numFmt w:val="bullet"/>
      <w:lvlText w:val=""/>
      <w:lvlJc w:val="left"/>
      <w:pPr>
        <w:ind w:left="2160" w:hanging="420"/>
      </w:pPr>
      <w:rPr>
        <w:rFonts w:ascii="Wingdings" w:hAnsi="Wingdings" w:hint="default"/>
      </w:rPr>
    </w:lvl>
    <w:lvl w:ilvl="3" w:tplc="04090001" w:tentative="1">
      <w:start w:val="1"/>
      <w:numFmt w:val="bullet"/>
      <w:lvlText w:val=""/>
      <w:lvlJc w:val="left"/>
      <w:pPr>
        <w:ind w:left="2580" w:hanging="420"/>
      </w:pPr>
      <w:rPr>
        <w:rFonts w:ascii="Wingdings" w:hAnsi="Wingdings" w:hint="default"/>
      </w:rPr>
    </w:lvl>
    <w:lvl w:ilvl="4" w:tplc="0409000B" w:tentative="1">
      <w:start w:val="1"/>
      <w:numFmt w:val="bullet"/>
      <w:lvlText w:val=""/>
      <w:lvlJc w:val="left"/>
      <w:pPr>
        <w:ind w:left="3000" w:hanging="420"/>
      </w:pPr>
      <w:rPr>
        <w:rFonts w:ascii="Wingdings" w:hAnsi="Wingdings" w:hint="default"/>
      </w:rPr>
    </w:lvl>
    <w:lvl w:ilvl="5" w:tplc="0409000D" w:tentative="1">
      <w:start w:val="1"/>
      <w:numFmt w:val="bullet"/>
      <w:lvlText w:val=""/>
      <w:lvlJc w:val="left"/>
      <w:pPr>
        <w:ind w:left="3420" w:hanging="420"/>
      </w:pPr>
      <w:rPr>
        <w:rFonts w:ascii="Wingdings" w:hAnsi="Wingdings" w:hint="default"/>
      </w:rPr>
    </w:lvl>
    <w:lvl w:ilvl="6" w:tplc="04090001" w:tentative="1">
      <w:start w:val="1"/>
      <w:numFmt w:val="bullet"/>
      <w:lvlText w:val=""/>
      <w:lvlJc w:val="left"/>
      <w:pPr>
        <w:ind w:left="3840" w:hanging="420"/>
      </w:pPr>
      <w:rPr>
        <w:rFonts w:ascii="Wingdings" w:hAnsi="Wingdings" w:hint="default"/>
      </w:rPr>
    </w:lvl>
    <w:lvl w:ilvl="7" w:tplc="0409000B" w:tentative="1">
      <w:start w:val="1"/>
      <w:numFmt w:val="bullet"/>
      <w:lvlText w:val=""/>
      <w:lvlJc w:val="left"/>
      <w:pPr>
        <w:ind w:left="4260" w:hanging="420"/>
      </w:pPr>
      <w:rPr>
        <w:rFonts w:ascii="Wingdings" w:hAnsi="Wingdings" w:hint="default"/>
      </w:rPr>
    </w:lvl>
    <w:lvl w:ilvl="8" w:tplc="0409000D" w:tentative="1">
      <w:start w:val="1"/>
      <w:numFmt w:val="bullet"/>
      <w:lvlText w:val=""/>
      <w:lvlJc w:val="left"/>
      <w:pPr>
        <w:ind w:left="4680" w:hanging="420"/>
      </w:pPr>
      <w:rPr>
        <w:rFonts w:ascii="Wingdings" w:hAnsi="Wingdings" w:hint="default"/>
      </w:rPr>
    </w:lvl>
  </w:abstractNum>
  <w:abstractNum w:abstractNumId="4">
    <w:nsid w:val="3D2D3325"/>
    <w:multiLevelType w:val="hybridMultilevel"/>
    <w:tmpl w:val="B0E4CC6A"/>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nsid w:val="3D9C53BB"/>
    <w:multiLevelType w:val="hybridMultilevel"/>
    <w:tmpl w:val="E30C08A2"/>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nsid w:val="403578EF"/>
    <w:multiLevelType w:val="hybridMultilevel"/>
    <w:tmpl w:val="777C3464"/>
    <w:lvl w:ilvl="0" w:tplc="11068D62">
      <w:start w:val="1"/>
      <w:numFmt w:val="decimal"/>
      <w:lvlText w:val="%1."/>
      <w:lvlJc w:val="left"/>
      <w:pPr>
        <w:ind w:left="690" w:hanging="48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41813C3D"/>
    <w:multiLevelType w:val="hybridMultilevel"/>
    <w:tmpl w:val="7FD0E90E"/>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nsid w:val="46641C9E"/>
    <w:multiLevelType w:val="hybridMultilevel"/>
    <w:tmpl w:val="2304BEE2"/>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nsid w:val="51CE13D9"/>
    <w:multiLevelType w:val="hybridMultilevel"/>
    <w:tmpl w:val="5DA87A3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0">
    <w:nsid w:val="57367270"/>
    <w:multiLevelType w:val="hybridMultilevel"/>
    <w:tmpl w:val="985A43E6"/>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nsid w:val="59351DBD"/>
    <w:multiLevelType w:val="hybridMultilevel"/>
    <w:tmpl w:val="4F1A0D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2">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5E691CB4"/>
    <w:multiLevelType w:val="hybridMultilevel"/>
    <w:tmpl w:val="28CA2622"/>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4">
    <w:nsid w:val="66F222E0"/>
    <w:multiLevelType w:val="hybridMultilevel"/>
    <w:tmpl w:val="35E85674"/>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nsid w:val="6C762AFD"/>
    <w:multiLevelType w:val="hybridMultilevel"/>
    <w:tmpl w:val="092E64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6">
    <w:nsid w:val="6F6079E0"/>
    <w:multiLevelType w:val="hybridMultilevel"/>
    <w:tmpl w:val="AD56679C"/>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nsid w:val="705B21CA"/>
    <w:multiLevelType w:val="hybridMultilevel"/>
    <w:tmpl w:val="DFFA387A"/>
    <w:lvl w:ilvl="0" w:tplc="888AB0D0">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7DBB47E1"/>
    <w:multiLevelType w:val="hybridMultilevel"/>
    <w:tmpl w:val="3BE401F6"/>
    <w:lvl w:ilvl="0" w:tplc="1009000F">
      <w:start w:val="1"/>
      <w:numFmt w:val="decimal"/>
      <w:lvlText w:val="%1."/>
      <w:lvlJc w:val="left"/>
      <w:pPr>
        <w:ind w:left="690" w:hanging="48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9"/>
  </w:num>
  <w:num w:numId="2">
    <w:abstractNumId w:val="10"/>
  </w:num>
  <w:num w:numId="3">
    <w:abstractNumId w:val="18"/>
  </w:num>
  <w:num w:numId="4">
    <w:abstractNumId w:val="15"/>
  </w:num>
  <w:num w:numId="5">
    <w:abstractNumId w:val="11"/>
  </w:num>
  <w:num w:numId="6">
    <w:abstractNumId w:val="12"/>
  </w:num>
  <w:num w:numId="7">
    <w:abstractNumId w:val="0"/>
  </w:num>
  <w:num w:numId="8">
    <w:abstractNumId w:val="1"/>
  </w:num>
  <w:num w:numId="9">
    <w:abstractNumId w:val="6"/>
  </w:num>
  <w:num w:numId="10">
    <w:abstractNumId w:val="19"/>
  </w:num>
  <w:num w:numId="11">
    <w:abstractNumId w:val="4"/>
  </w:num>
  <w:num w:numId="12">
    <w:abstractNumId w:val="13"/>
  </w:num>
  <w:num w:numId="13">
    <w:abstractNumId w:val="8"/>
  </w:num>
  <w:num w:numId="14">
    <w:abstractNumId w:val="5"/>
  </w:num>
  <w:num w:numId="15">
    <w:abstractNumId w:val="16"/>
  </w:num>
  <w:num w:numId="16">
    <w:abstractNumId w:val="14"/>
  </w:num>
  <w:num w:numId="17">
    <w:abstractNumId w:val="7"/>
  </w:num>
  <w:num w:numId="18">
    <w:abstractNumId w:val="3"/>
  </w:num>
  <w:num w:numId="19">
    <w:abstractNumId w:val="2"/>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051"/>
    <w:rsid w:val="00084F66"/>
    <w:rsid w:val="00146D81"/>
    <w:rsid w:val="001775A0"/>
    <w:rsid w:val="0027239B"/>
    <w:rsid w:val="00301799"/>
    <w:rsid w:val="00346E72"/>
    <w:rsid w:val="00462D88"/>
    <w:rsid w:val="004B76ED"/>
    <w:rsid w:val="00560632"/>
    <w:rsid w:val="005A699B"/>
    <w:rsid w:val="0062323B"/>
    <w:rsid w:val="0068122A"/>
    <w:rsid w:val="006C3195"/>
    <w:rsid w:val="007F5005"/>
    <w:rsid w:val="00A861A2"/>
    <w:rsid w:val="00B11D68"/>
    <w:rsid w:val="00BB05A0"/>
    <w:rsid w:val="00BB37B1"/>
    <w:rsid w:val="00C8777B"/>
    <w:rsid w:val="00CF7494"/>
    <w:rsid w:val="00D06051"/>
    <w:rsid w:val="00D67E8A"/>
    <w:rsid w:val="00D84AFF"/>
    <w:rsid w:val="00D92391"/>
    <w:rsid w:val="00E8772A"/>
    <w:rsid w:val="00F333CE"/>
    <w:rsid w:val="00FB6EB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051"/>
  </w:style>
  <w:style w:type="paragraph" w:styleId="Footer">
    <w:name w:val="footer"/>
    <w:basedOn w:val="Normal"/>
    <w:link w:val="FooterChar"/>
    <w:uiPriority w:val="99"/>
    <w:unhideWhenUsed/>
    <w:rsid w:val="00D06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051"/>
  </w:style>
  <w:style w:type="paragraph" w:styleId="BalloonText">
    <w:name w:val="Balloon Text"/>
    <w:basedOn w:val="Normal"/>
    <w:link w:val="BalloonTextChar"/>
    <w:uiPriority w:val="99"/>
    <w:semiHidden/>
    <w:unhideWhenUsed/>
    <w:rsid w:val="00D060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051"/>
    <w:rPr>
      <w:rFonts w:ascii="Tahoma" w:hAnsi="Tahoma" w:cs="Tahoma"/>
      <w:sz w:val="16"/>
      <w:szCs w:val="16"/>
    </w:rPr>
  </w:style>
  <w:style w:type="table" w:styleId="TableGrid">
    <w:name w:val="Table Grid"/>
    <w:basedOn w:val="TableNormal"/>
    <w:uiPriority w:val="59"/>
    <w:rsid w:val="00D06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77B"/>
    <w:pPr>
      <w:ind w:left="720"/>
      <w:contextualSpacing/>
    </w:pPr>
  </w:style>
  <w:style w:type="character" w:styleId="CommentReference">
    <w:name w:val="annotation reference"/>
    <w:basedOn w:val="DefaultParagraphFont"/>
    <w:uiPriority w:val="99"/>
    <w:semiHidden/>
    <w:unhideWhenUsed/>
    <w:rsid w:val="00C8777B"/>
    <w:rPr>
      <w:sz w:val="16"/>
      <w:szCs w:val="16"/>
    </w:rPr>
  </w:style>
  <w:style w:type="paragraph" w:styleId="CommentText">
    <w:name w:val="annotation text"/>
    <w:basedOn w:val="Normal"/>
    <w:link w:val="CommentTextChar"/>
    <w:uiPriority w:val="99"/>
    <w:semiHidden/>
    <w:unhideWhenUsed/>
    <w:rsid w:val="00D84AFF"/>
    <w:pPr>
      <w:spacing w:after="0" w:line="240" w:lineRule="auto"/>
    </w:pPr>
    <w:rPr>
      <w:rFonts w:ascii="LastResort" w:eastAsia="PMingLiU" w:hAnsi="LastResort" w:cs="Times New Roman"/>
      <w:sz w:val="20"/>
      <w:szCs w:val="20"/>
      <w:lang w:val="en-US"/>
    </w:rPr>
  </w:style>
  <w:style w:type="character" w:customStyle="1" w:styleId="CommentTextChar">
    <w:name w:val="Comment Text Char"/>
    <w:basedOn w:val="DefaultParagraphFont"/>
    <w:link w:val="CommentText"/>
    <w:uiPriority w:val="99"/>
    <w:semiHidden/>
    <w:rsid w:val="00D84AFF"/>
    <w:rPr>
      <w:rFonts w:ascii="LastResort" w:eastAsia="PMingLiU" w:hAnsi="LastResort"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051"/>
  </w:style>
  <w:style w:type="paragraph" w:styleId="Footer">
    <w:name w:val="footer"/>
    <w:basedOn w:val="Normal"/>
    <w:link w:val="FooterChar"/>
    <w:uiPriority w:val="99"/>
    <w:unhideWhenUsed/>
    <w:rsid w:val="00D06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051"/>
  </w:style>
  <w:style w:type="paragraph" w:styleId="BalloonText">
    <w:name w:val="Balloon Text"/>
    <w:basedOn w:val="Normal"/>
    <w:link w:val="BalloonTextChar"/>
    <w:uiPriority w:val="99"/>
    <w:semiHidden/>
    <w:unhideWhenUsed/>
    <w:rsid w:val="00D060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051"/>
    <w:rPr>
      <w:rFonts w:ascii="Tahoma" w:hAnsi="Tahoma" w:cs="Tahoma"/>
      <w:sz w:val="16"/>
      <w:szCs w:val="16"/>
    </w:rPr>
  </w:style>
  <w:style w:type="table" w:styleId="TableGrid">
    <w:name w:val="Table Grid"/>
    <w:basedOn w:val="TableNormal"/>
    <w:uiPriority w:val="59"/>
    <w:rsid w:val="00D06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77B"/>
    <w:pPr>
      <w:ind w:left="720"/>
      <w:contextualSpacing/>
    </w:pPr>
  </w:style>
  <w:style w:type="character" w:styleId="CommentReference">
    <w:name w:val="annotation reference"/>
    <w:basedOn w:val="DefaultParagraphFont"/>
    <w:uiPriority w:val="99"/>
    <w:semiHidden/>
    <w:unhideWhenUsed/>
    <w:rsid w:val="00C8777B"/>
    <w:rPr>
      <w:sz w:val="16"/>
      <w:szCs w:val="16"/>
    </w:rPr>
  </w:style>
  <w:style w:type="paragraph" w:styleId="CommentText">
    <w:name w:val="annotation text"/>
    <w:basedOn w:val="Normal"/>
    <w:link w:val="CommentTextChar"/>
    <w:uiPriority w:val="99"/>
    <w:semiHidden/>
    <w:unhideWhenUsed/>
    <w:rsid w:val="00D84AFF"/>
    <w:pPr>
      <w:spacing w:after="0" w:line="240" w:lineRule="auto"/>
    </w:pPr>
    <w:rPr>
      <w:rFonts w:ascii="LastResort" w:eastAsia="PMingLiU" w:hAnsi="LastResort" w:cs="Times New Roman"/>
      <w:sz w:val="20"/>
      <w:szCs w:val="20"/>
      <w:lang w:val="en-US"/>
    </w:rPr>
  </w:style>
  <w:style w:type="character" w:customStyle="1" w:styleId="CommentTextChar">
    <w:name w:val="Comment Text Char"/>
    <w:basedOn w:val="DefaultParagraphFont"/>
    <w:link w:val="CommentText"/>
    <w:uiPriority w:val="99"/>
    <w:semiHidden/>
    <w:rsid w:val="00D84AFF"/>
    <w:rPr>
      <w:rFonts w:ascii="LastResort" w:eastAsia="PMingLiU" w:hAnsi="LastResort"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1113</Words>
  <Characters>6345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GHA</Company>
  <LinksUpToDate>false</LinksUpToDate>
  <CharactersWithSpaces>7444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 Fraser</dc:creator>
  <cp:lastModifiedBy>MG Fraser</cp:lastModifiedBy>
  <cp:revision>2</cp:revision>
  <dcterms:created xsi:type="dcterms:W3CDTF">2015-08-17T01:22:00Z</dcterms:created>
  <dcterms:modified xsi:type="dcterms:W3CDTF">2015-08-17T01:22:00Z</dcterms:modified>
</cp:coreProperties>
</file>