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7DF1F" w14:textId="0B01A458" w:rsidR="00000000" w:rsidRPr="0001053E" w:rsidRDefault="000B7714" w:rsidP="0001053E">
      <w:pPr>
        <w:jc w:val="center"/>
        <w:rPr>
          <w:sz w:val="36"/>
          <w:szCs w:val="36"/>
          <w:lang w:val="en-US"/>
        </w:rPr>
      </w:pPr>
      <w:r w:rsidRPr="0001053E">
        <w:rPr>
          <w:sz w:val="36"/>
          <w:szCs w:val="36"/>
          <w:lang w:val="en-US"/>
        </w:rPr>
        <w:t>Andrew Todd – Strategic development and implementation ad-hoc committee report:</w:t>
      </w:r>
    </w:p>
    <w:p w14:paraId="75BF077B" w14:textId="3C8EDEFD" w:rsidR="000B7714" w:rsidRPr="00113158" w:rsidRDefault="000B7714" w:rsidP="00113158">
      <w:pPr>
        <w:jc w:val="both"/>
        <w:rPr>
          <w:sz w:val="24"/>
          <w:szCs w:val="24"/>
          <w:lang w:val="en-US"/>
        </w:rPr>
      </w:pPr>
    </w:p>
    <w:p w14:paraId="00D3BF57" w14:textId="131BD2A8" w:rsidR="00E73F02" w:rsidRDefault="00E73F02" w:rsidP="007A31C3">
      <w:pPr>
        <w:pStyle w:val="ListParagraph"/>
        <w:numPr>
          <w:ilvl w:val="0"/>
          <w:numId w:val="2"/>
        </w:numPr>
        <w:spacing w:line="360" w:lineRule="auto"/>
        <w:jc w:val="both"/>
        <w:rPr>
          <w:b/>
          <w:bCs/>
          <w:sz w:val="24"/>
          <w:szCs w:val="24"/>
          <w:lang w:val="en-US"/>
        </w:rPr>
      </w:pPr>
      <w:r>
        <w:rPr>
          <w:b/>
          <w:bCs/>
          <w:sz w:val="24"/>
          <w:szCs w:val="24"/>
          <w:lang w:val="en-US"/>
        </w:rPr>
        <w:t xml:space="preserve">IEA integration of standing committee activities </w:t>
      </w:r>
    </w:p>
    <w:p w14:paraId="3FECA09D" w14:textId="44427F46" w:rsidR="00E73F02" w:rsidRDefault="00E73F02" w:rsidP="007A31C3">
      <w:pPr>
        <w:spacing w:line="360" w:lineRule="auto"/>
        <w:jc w:val="both"/>
        <w:rPr>
          <w:sz w:val="24"/>
          <w:szCs w:val="24"/>
          <w:lang w:val="en-US"/>
        </w:rPr>
      </w:pPr>
      <w:r>
        <w:rPr>
          <w:sz w:val="24"/>
          <w:szCs w:val="24"/>
          <w:lang w:val="en-US"/>
        </w:rPr>
        <w:t xml:space="preserve">To effectively deliver on the IEA seven policies, it is important that the various standing committees do not operate in isolation. </w:t>
      </w:r>
      <w:r w:rsidR="00EF0A07">
        <w:rPr>
          <w:sz w:val="24"/>
          <w:szCs w:val="24"/>
          <w:lang w:val="en-US"/>
        </w:rPr>
        <w:t>Therefore,</w:t>
      </w:r>
      <w:r>
        <w:rPr>
          <w:sz w:val="24"/>
          <w:szCs w:val="24"/>
          <w:lang w:val="en-US"/>
        </w:rPr>
        <w:t xml:space="preserve"> a key strategic development for the current IEA executive has been </w:t>
      </w:r>
      <w:r w:rsidR="007A31C3">
        <w:rPr>
          <w:sz w:val="24"/>
          <w:szCs w:val="24"/>
          <w:lang w:val="en-US"/>
        </w:rPr>
        <w:t>implementing</w:t>
      </w:r>
      <w:r>
        <w:rPr>
          <w:sz w:val="24"/>
          <w:szCs w:val="24"/>
          <w:lang w:val="en-US"/>
        </w:rPr>
        <w:t xml:space="preserve"> joint activities across the various standing committees. The focus of these activities has been two-fold: </w:t>
      </w:r>
    </w:p>
    <w:p w14:paraId="1738531A" w14:textId="3C176462" w:rsidR="00E73F02" w:rsidRDefault="00E73F02" w:rsidP="007A31C3">
      <w:pPr>
        <w:pStyle w:val="ListParagraph"/>
        <w:numPr>
          <w:ilvl w:val="0"/>
          <w:numId w:val="5"/>
        </w:numPr>
        <w:spacing w:line="360" w:lineRule="auto"/>
        <w:jc w:val="both"/>
        <w:rPr>
          <w:sz w:val="24"/>
          <w:szCs w:val="24"/>
          <w:lang w:val="en-US"/>
        </w:rPr>
      </w:pPr>
      <w:r>
        <w:rPr>
          <w:sz w:val="24"/>
          <w:szCs w:val="24"/>
          <w:lang w:val="en-US"/>
        </w:rPr>
        <w:t xml:space="preserve">Strengthen the regional representation of the standing committees through, firstly, the appointment of co-chairs in the various regions of the world and, secondly, fostering a closer working relationship with the IEA networks representing these regions. </w:t>
      </w:r>
    </w:p>
    <w:p w14:paraId="6872CA42" w14:textId="4C6A64A7" w:rsidR="00E73F02" w:rsidRDefault="00E73F02" w:rsidP="007A31C3">
      <w:pPr>
        <w:pStyle w:val="ListParagraph"/>
        <w:numPr>
          <w:ilvl w:val="0"/>
          <w:numId w:val="5"/>
        </w:numPr>
        <w:spacing w:line="360" w:lineRule="auto"/>
        <w:jc w:val="both"/>
        <w:rPr>
          <w:sz w:val="24"/>
          <w:szCs w:val="24"/>
          <w:lang w:val="en-US"/>
        </w:rPr>
      </w:pPr>
      <w:r>
        <w:rPr>
          <w:sz w:val="24"/>
          <w:szCs w:val="24"/>
          <w:lang w:val="en-US"/>
        </w:rPr>
        <w:t xml:space="preserve">Developing shared projects between the various standing committees </w:t>
      </w:r>
    </w:p>
    <w:p w14:paraId="73BBA4E5" w14:textId="3209D41F" w:rsidR="00E73F02" w:rsidRDefault="00E73F02" w:rsidP="007A31C3">
      <w:pPr>
        <w:spacing w:line="360" w:lineRule="auto"/>
        <w:jc w:val="both"/>
        <w:rPr>
          <w:sz w:val="24"/>
          <w:szCs w:val="24"/>
          <w:lang w:val="en-US"/>
        </w:rPr>
      </w:pPr>
      <w:r>
        <w:rPr>
          <w:sz w:val="24"/>
          <w:szCs w:val="24"/>
          <w:lang w:val="en-US"/>
        </w:rPr>
        <w:t xml:space="preserve">The growth of HFE as a science and practice is intrinsically linked to the provision of </w:t>
      </w:r>
      <w:r w:rsidR="00EF0A07">
        <w:rPr>
          <w:sz w:val="24"/>
          <w:szCs w:val="24"/>
          <w:lang w:val="en-US"/>
        </w:rPr>
        <w:t>high-quality</w:t>
      </w:r>
      <w:r>
        <w:rPr>
          <w:sz w:val="24"/>
          <w:szCs w:val="24"/>
          <w:lang w:val="en-US"/>
        </w:rPr>
        <w:t xml:space="preserve"> HFE education that is contextually relevant and therefore is a key strategic development and implementation objective (see the </w:t>
      </w:r>
      <w:proofErr w:type="spellStart"/>
      <w:r>
        <w:rPr>
          <w:sz w:val="24"/>
          <w:szCs w:val="24"/>
          <w:lang w:val="en-US"/>
        </w:rPr>
        <w:t>Dul</w:t>
      </w:r>
      <w:proofErr w:type="spellEnd"/>
      <w:r>
        <w:rPr>
          <w:sz w:val="24"/>
          <w:szCs w:val="24"/>
          <w:lang w:val="en-US"/>
        </w:rPr>
        <w:t xml:space="preserve"> et al. (2012) white paper, plus the 2018 and 2021 IEA triennial reports for further details). To facilitate this growth collaboration between standing committees is key. Therefore, the strategic development and implementation chair has been working with both the professional standards and education and international development standing committee activities to support their work as outlined below:</w:t>
      </w:r>
    </w:p>
    <w:p w14:paraId="00B1DD4E" w14:textId="7D712ABF" w:rsidR="00E73F02" w:rsidRDefault="00E73F02" w:rsidP="007A31C3">
      <w:pPr>
        <w:pStyle w:val="ListParagraph"/>
        <w:numPr>
          <w:ilvl w:val="0"/>
          <w:numId w:val="4"/>
        </w:numPr>
        <w:spacing w:line="360" w:lineRule="auto"/>
        <w:jc w:val="both"/>
        <w:rPr>
          <w:sz w:val="24"/>
          <w:szCs w:val="24"/>
          <w:lang w:val="en-US"/>
        </w:rPr>
      </w:pPr>
      <w:r>
        <w:rPr>
          <w:sz w:val="24"/>
          <w:szCs w:val="24"/>
          <w:lang w:val="en-US"/>
        </w:rPr>
        <w:t xml:space="preserve">Sub-Saharan </w:t>
      </w:r>
      <w:r w:rsidRPr="0080117C">
        <w:rPr>
          <w:sz w:val="24"/>
          <w:szCs w:val="24"/>
          <w:lang w:val="en-US"/>
        </w:rPr>
        <w:t xml:space="preserve">Africa education program: </w:t>
      </w:r>
      <w:r>
        <w:rPr>
          <w:sz w:val="24"/>
          <w:szCs w:val="24"/>
          <w:lang w:val="en-US"/>
        </w:rPr>
        <w:t xml:space="preserve">Collaboration with ID committee, </w:t>
      </w:r>
      <w:proofErr w:type="spellStart"/>
      <w:r>
        <w:rPr>
          <w:sz w:val="24"/>
          <w:szCs w:val="24"/>
          <w:lang w:val="en-US"/>
        </w:rPr>
        <w:t>ErgoAfrica</w:t>
      </w:r>
      <w:proofErr w:type="spellEnd"/>
      <w:r>
        <w:rPr>
          <w:sz w:val="24"/>
          <w:szCs w:val="24"/>
          <w:lang w:val="en-US"/>
        </w:rPr>
        <w:t xml:space="preserve"> standing committee chairs and ESSA (Ergonomics Society of South Africa). Facilitated by Andrew Thatcher with support from Strategic development and implementation chair. A formation model for curriculum development has been completed and opportunities for collaboration between the various interested countries has been developed (Andrew Thatcher to report more fully) </w:t>
      </w:r>
    </w:p>
    <w:p w14:paraId="0778C704" w14:textId="200DD7A1" w:rsidR="00EF0A07" w:rsidRDefault="00EF0A07" w:rsidP="007A31C3">
      <w:pPr>
        <w:pStyle w:val="ListParagraph"/>
        <w:numPr>
          <w:ilvl w:val="0"/>
          <w:numId w:val="4"/>
        </w:numPr>
        <w:spacing w:line="360" w:lineRule="auto"/>
        <w:jc w:val="both"/>
        <w:rPr>
          <w:sz w:val="24"/>
          <w:szCs w:val="24"/>
          <w:lang w:val="en-US"/>
        </w:rPr>
      </w:pPr>
      <w:r>
        <w:rPr>
          <w:sz w:val="24"/>
          <w:szCs w:val="24"/>
          <w:lang w:val="en-US"/>
        </w:rPr>
        <w:t xml:space="preserve">Formation of the Angolan Association of Ergonomics (AAE): Collaboration with the </w:t>
      </w:r>
      <w:r w:rsidRPr="005D148D">
        <w:rPr>
          <w:sz w:val="24"/>
          <w:szCs w:val="24"/>
          <w:lang w:val="en-US"/>
        </w:rPr>
        <w:t>Portuguese-speaking network of ergonomics societies</w:t>
      </w:r>
      <w:r>
        <w:rPr>
          <w:sz w:val="24"/>
          <w:szCs w:val="24"/>
          <w:lang w:val="en-US"/>
        </w:rPr>
        <w:t xml:space="preserve">. Development of </w:t>
      </w:r>
      <w:r>
        <w:rPr>
          <w:sz w:val="24"/>
          <w:szCs w:val="24"/>
          <w:lang w:val="en-US"/>
        </w:rPr>
        <w:lastRenderedPageBreak/>
        <w:t xml:space="preserve">agreement for HFE workshop </w:t>
      </w:r>
      <w:proofErr w:type="gramStart"/>
      <w:r>
        <w:rPr>
          <w:sz w:val="24"/>
          <w:szCs w:val="24"/>
          <w:lang w:val="en-US"/>
        </w:rPr>
        <w:t>with  AAE</w:t>
      </w:r>
      <w:proofErr w:type="gramEnd"/>
      <w:r>
        <w:rPr>
          <w:sz w:val="24"/>
          <w:szCs w:val="24"/>
          <w:lang w:val="en-US"/>
        </w:rPr>
        <w:t xml:space="preserve"> facilitated by Prof Oliveira and Andrew Todd.</w:t>
      </w:r>
    </w:p>
    <w:p w14:paraId="7981E69B" w14:textId="37EB7107" w:rsidR="00EF0A07" w:rsidRPr="00EF0A07" w:rsidRDefault="00EF0A07" w:rsidP="007A31C3">
      <w:pPr>
        <w:pStyle w:val="ListParagraph"/>
        <w:numPr>
          <w:ilvl w:val="0"/>
          <w:numId w:val="4"/>
        </w:numPr>
        <w:spacing w:line="360" w:lineRule="auto"/>
        <w:jc w:val="both"/>
        <w:rPr>
          <w:sz w:val="24"/>
          <w:szCs w:val="24"/>
          <w:lang w:val="en-US"/>
        </w:rPr>
      </w:pPr>
      <w:r w:rsidRPr="005D148D">
        <w:rPr>
          <w:sz w:val="24"/>
          <w:szCs w:val="24"/>
          <w:lang w:val="en-US"/>
        </w:rPr>
        <w:t>Mozambique</w:t>
      </w:r>
      <w:r>
        <w:rPr>
          <w:sz w:val="24"/>
          <w:szCs w:val="24"/>
          <w:lang w:val="en-US"/>
        </w:rPr>
        <w:t>: Collaboration with Portuguese-speaking network for the training of medical doctors in HFE in collaboration with Brazilian ergonomics association (ABERGO)</w:t>
      </w:r>
      <w:r w:rsidRPr="005D148D">
        <w:rPr>
          <w:sz w:val="24"/>
          <w:szCs w:val="24"/>
          <w:lang w:val="en-US"/>
        </w:rPr>
        <w:t>.</w:t>
      </w:r>
      <w:r>
        <w:rPr>
          <w:sz w:val="24"/>
          <w:szCs w:val="24"/>
          <w:lang w:val="en-US"/>
        </w:rPr>
        <w:t xml:space="preserve"> Workshop in conjunction with AAE in final phase of discussions.  </w:t>
      </w:r>
      <w:r w:rsidRPr="005D148D">
        <w:rPr>
          <w:sz w:val="24"/>
          <w:szCs w:val="24"/>
          <w:lang w:val="en-US"/>
        </w:rPr>
        <w:t xml:space="preserve"> </w:t>
      </w:r>
    </w:p>
    <w:p w14:paraId="4283B368" w14:textId="694E2586" w:rsidR="00E73F02" w:rsidRDefault="00E73F02" w:rsidP="007A31C3">
      <w:pPr>
        <w:pStyle w:val="ListParagraph"/>
        <w:numPr>
          <w:ilvl w:val="0"/>
          <w:numId w:val="4"/>
        </w:numPr>
        <w:spacing w:line="360" w:lineRule="auto"/>
        <w:jc w:val="both"/>
        <w:rPr>
          <w:sz w:val="24"/>
          <w:szCs w:val="24"/>
          <w:lang w:val="en-US"/>
        </w:rPr>
      </w:pPr>
      <w:r>
        <w:rPr>
          <w:sz w:val="24"/>
          <w:szCs w:val="24"/>
          <w:lang w:val="en-US"/>
        </w:rPr>
        <w:t xml:space="preserve">Collaborative HFE PhD program for Asia – </w:t>
      </w:r>
      <w:proofErr w:type="spellStart"/>
      <w:r>
        <w:rPr>
          <w:sz w:val="24"/>
          <w:szCs w:val="24"/>
          <w:lang w:val="en-US"/>
        </w:rPr>
        <w:t>An</w:t>
      </w:r>
      <w:r w:rsidR="0051308A">
        <w:rPr>
          <w:sz w:val="24"/>
          <w:szCs w:val="24"/>
          <w:lang w:val="en-US"/>
        </w:rPr>
        <w:t>in</w:t>
      </w:r>
      <w:r>
        <w:rPr>
          <w:sz w:val="24"/>
          <w:szCs w:val="24"/>
          <w:lang w:val="en-US"/>
        </w:rPr>
        <w:t>dya</w:t>
      </w:r>
      <w:proofErr w:type="spellEnd"/>
      <w:r>
        <w:rPr>
          <w:sz w:val="24"/>
          <w:szCs w:val="24"/>
          <w:lang w:val="en-US"/>
        </w:rPr>
        <w:t xml:space="preserve"> Ganguli to report  </w:t>
      </w:r>
    </w:p>
    <w:p w14:paraId="51866DDB" w14:textId="77777777" w:rsidR="00E73F02" w:rsidRDefault="00E73F02" w:rsidP="007A31C3">
      <w:pPr>
        <w:pStyle w:val="ListParagraph"/>
        <w:numPr>
          <w:ilvl w:val="0"/>
          <w:numId w:val="4"/>
        </w:numPr>
        <w:spacing w:line="360" w:lineRule="auto"/>
        <w:jc w:val="both"/>
        <w:rPr>
          <w:sz w:val="24"/>
          <w:szCs w:val="24"/>
          <w:lang w:val="en-US"/>
        </w:rPr>
      </w:pPr>
      <w:r>
        <w:rPr>
          <w:sz w:val="24"/>
          <w:szCs w:val="24"/>
          <w:lang w:val="en-US"/>
        </w:rPr>
        <w:t xml:space="preserve">CNAM/JES/CPEJ – Takeshi Ebara to report on </w:t>
      </w:r>
      <w:proofErr w:type="gramStart"/>
      <w:r>
        <w:rPr>
          <w:sz w:val="24"/>
          <w:szCs w:val="24"/>
          <w:lang w:val="en-US"/>
        </w:rPr>
        <w:t>details</w:t>
      </w:r>
      <w:proofErr w:type="gramEnd"/>
      <w:r>
        <w:rPr>
          <w:sz w:val="24"/>
          <w:szCs w:val="24"/>
          <w:lang w:val="en-US"/>
        </w:rPr>
        <w:t xml:space="preserve"> </w:t>
      </w:r>
    </w:p>
    <w:p w14:paraId="2D313E08" w14:textId="431028D3" w:rsidR="00E73F02" w:rsidRDefault="00E73F02" w:rsidP="007A31C3">
      <w:pPr>
        <w:pStyle w:val="ListParagraph"/>
        <w:numPr>
          <w:ilvl w:val="0"/>
          <w:numId w:val="4"/>
        </w:numPr>
        <w:spacing w:line="360" w:lineRule="auto"/>
        <w:jc w:val="both"/>
        <w:rPr>
          <w:sz w:val="24"/>
          <w:szCs w:val="24"/>
          <w:lang w:val="en-US"/>
        </w:rPr>
      </w:pPr>
      <w:r>
        <w:rPr>
          <w:sz w:val="24"/>
          <w:szCs w:val="24"/>
          <w:lang w:val="en-US"/>
        </w:rPr>
        <w:t xml:space="preserve">Support Latin-American co-chairs for PS&amp;E and ID with </w:t>
      </w:r>
      <w:r w:rsidR="00EF0A07">
        <w:rPr>
          <w:sz w:val="24"/>
          <w:szCs w:val="24"/>
          <w:lang w:val="en-US"/>
        </w:rPr>
        <w:t xml:space="preserve">the </w:t>
      </w:r>
      <w:r>
        <w:rPr>
          <w:sz w:val="24"/>
          <w:szCs w:val="24"/>
          <w:lang w:val="en-US"/>
        </w:rPr>
        <w:t xml:space="preserve">implementation of P2DT for </w:t>
      </w:r>
      <w:r w:rsidR="00EF0A07">
        <w:rPr>
          <w:sz w:val="24"/>
          <w:szCs w:val="24"/>
          <w:lang w:val="en-US"/>
        </w:rPr>
        <w:t xml:space="preserve">the </w:t>
      </w:r>
      <w:r>
        <w:rPr>
          <w:sz w:val="24"/>
          <w:szCs w:val="24"/>
          <w:lang w:val="en-US"/>
        </w:rPr>
        <w:t xml:space="preserve">development of education programs </w:t>
      </w:r>
      <w:r w:rsidR="00EF0A07">
        <w:rPr>
          <w:sz w:val="24"/>
          <w:szCs w:val="24"/>
          <w:lang w:val="en-US"/>
        </w:rPr>
        <w:t xml:space="preserve">through contributions to the PhD program in Colombia. </w:t>
      </w:r>
    </w:p>
    <w:p w14:paraId="5DFAED15" w14:textId="77777777" w:rsidR="00EF0A07" w:rsidRDefault="00EF0A07" w:rsidP="007A31C3">
      <w:pPr>
        <w:pStyle w:val="ListParagraph"/>
        <w:spacing w:line="360" w:lineRule="auto"/>
        <w:ind w:left="1080"/>
        <w:jc w:val="both"/>
        <w:rPr>
          <w:sz w:val="24"/>
          <w:szCs w:val="24"/>
          <w:lang w:val="en-US"/>
        </w:rPr>
      </w:pPr>
    </w:p>
    <w:p w14:paraId="6AF320A4" w14:textId="0451D488" w:rsidR="001655AD" w:rsidRPr="001461F0" w:rsidRDefault="001655AD" w:rsidP="007A31C3">
      <w:pPr>
        <w:pStyle w:val="ListParagraph"/>
        <w:numPr>
          <w:ilvl w:val="0"/>
          <w:numId w:val="2"/>
        </w:numPr>
        <w:spacing w:line="360" w:lineRule="auto"/>
        <w:jc w:val="both"/>
        <w:rPr>
          <w:b/>
          <w:bCs/>
          <w:sz w:val="24"/>
          <w:szCs w:val="24"/>
          <w:lang w:val="en-US"/>
        </w:rPr>
      </w:pPr>
      <w:r w:rsidRPr="001461F0">
        <w:rPr>
          <w:b/>
          <w:bCs/>
          <w:sz w:val="24"/>
          <w:szCs w:val="24"/>
          <w:lang w:val="en-US"/>
        </w:rPr>
        <w:t xml:space="preserve">Future of work presentation </w:t>
      </w:r>
    </w:p>
    <w:p w14:paraId="525323D2" w14:textId="385F7E2B" w:rsidR="001655AD" w:rsidRPr="007A31C3" w:rsidRDefault="001655AD" w:rsidP="007A31C3">
      <w:pPr>
        <w:spacing w:line="360" w:lineRule="auto"/>
        <w:jc w:val="both"/>
        <w:rPr>
          <w:b/>
          <w:bCs/>
          <w:sz w:val="24"/>
          <w:szCs w:val="24"/>
          <w:lang w:val="en-US"/>
        </w:rPr>
      </w:pPr>
      <w:r>
        <w:rPr>
          <w:sz w:val="24"/>
          <w:szCs w:val="24"/>
          <w:lang w:val="en-US"/>
        </w:rPr>
        <w:t xml:space="preserve">Contribute to the future of work ad hoc committee webinars on the future of work in Africa with a presentation on “The future of work in Africa: Ponderings on the gaze and pose of HFE – time to be a nuisance”. </w:t>
      </w:r>
    </w:p>
    <w:p w14:paraId="427815A8" w14:textId="725CD739" w:rsidR="001655AD" w:rsidRPr="007A31C3" w:rsidRDefault="00EF0A07" w:rsidP="007A31C3">
      <w:pPr>
        <w:pStyle w:val="ListParagraph"/>
        <w:numPr>
          <w:ilvl w:val="0"/>
          <w:numId w:val="2"/>
        </w:numPr>
        <w:spacing w:line="360" w:lineRule="auto"/>
        <w:jc w:val="both"/>
        <w:rPr>
          <w:b/>
          <w:bCs/>
          <w:sz w:val="24"/>
          <w:szCs w:val="24"/>
          <w:lang w:val="en-US"/>
        </w:rPr>
      </w:pPr>
      <w:r w:rsidRPr="007A31C3">
        <w:rPr>
          <w:b/>
          <w:bCs/>
          <w:sz w:val="24"/>
          <w:szCs w:val="24"/>
          <w:lang w:val="en-US"/>
        </w:rPr>
        <w:t xml:space="preserve">WHO World Patient Safety Day 2023 global conference </w:t>
      </w:r>
    </w:p>
    <w:p w14:paraId="44DF6DA9" w14:textId="63A82513" w:rsidR="00EF0A07" w:rsidRPr="00EF0A07" w:rsidRDefault="00EF0A07" w:rsidP="007A31C3">
      <w:pPr>
        <w:spacing w:line="360" w:lineRule="auto"/>
        <w:jc w:val="both"/>
        <w:rPr>
          <w:sz w:val="24"/>
          <w:szCs w:val="24"/>
          <w:lang w:val="en-US"/>
        </w:rPr>
      </w:pPr>
      <w:r>
        <w:rPr>
          <w:sz w:val="24"/>
          <w:szCs w:val="24"/>
          <w:lang w:val="en-US"/>
        </w:rPr>
        <w:t xml:space="preserve">Represented the IEA at the World Health </w:t>
      </w:r>
      <w:proofErr w:type="spellStart"/>
      <w:r>
        <w:rPr>
          <w:sz w:val="24"/>
          <w:szCs w:val="24"/>
          <w:lang w:val="en-US"/>
        </w:rPr>
        <w:t>Organisation</w:t>
      </w:r>
      <w:proofErr w:type="spellEnd"/>
      <w:r>
        <w:rPr>
          <w:sz w:val="24"/>
          <w:szCs w:val="24"/>
          <w:lang w:val="en-US"/>
        </w:rPr>
        <w:t xml:space="preserve"> conference on the 12-13 September in Geneva, Switzerland on “Engaging patients for patient safety”. A primary purpose of the meeting was to discuss and review the draft WHO Patient Safety Rights Charter. Through IEA participation</w:t>
      </w:r>
      <w:r w:rsidR="007A31C3">
        <w:rPr>
          <w:sz w:val="24"/>
          <w:szCs w:val="24"/>
          <w:lang w:val="en-US"/>
        </w:rPr>
        <w:t>,</w:t>
      </w:r>
      <w:r>
        <w:rPr>
          <w:sz w:val="24"/>
          <w:szCs w:val="24"/>
          <w:lang w:val="en-US"/>
        </w:rPr>
        <w:t xml:space="preserve"> we were able to highlight the need to integrate HFE into the implementation of the charter</w:t>
      </w:r>
      <w:r w:rsidR="007A31C3">
        <w:rPr>
          <w:sz w:val="24"/>
          <w:szCs w:val="24"/>
          <w:lang w:val="en-US"/>
        </w:rPr>
        <w:t xml:space="preserve">. </w:t>
      </w:r>
    </w:p>
    <w:p w14:paraId="74A0A6CF" w14:textId="77777777" w:rsidR="00AC5E86" w:rsidRPr="00AC5E86" w:rsidRDefault="00AC5E86" w:rsidP="007A31C3">
      <w:pPr>
        <w:pStyle w:val="ListParagraph"/>
        <w:numPr>
          <w:ilvl w:val="0"/>
          <w:numId w:val="2"/>
        </w:numPr>
        <w:spacing w:line="360" w:lineRule="auto"/>
        <w:jc w:val="both"/>
        <w:rPr>
          <w:b/>
          <w:bCs/>
          <w:sz w:val="24"/>
          <w:szCs w:val="24"/>
          <w:lang w:val="en-US"/>
        </w:rPr>
      </w:pPr>
      <w:r w:rsidRPr="00AC5E86">
        <w:rPr>
          <w:b/>
          <w:bCs/>
          <w:sz w:val="24"/>
          <w:szCs w:val="24"/>
          <w:lang w:val="en-US"/>
        </w:rPr>
        <w:t xml:space="preserve">Executive Committee meetings </w:t>
      </w:r>
    </w:p>
    <w:p w14:paraId="4934E4A4" w14:textId="1BFBFDB9" w:rsidR="00B104E3" w:rsidRPr="00AC5E86" w:rsidRDefault="00AC5E86" w:rsidP="007A31C3">
      <w:pPr>
        <w:spacing w:line="360" w:lineRule="auto"/>
        <w:jc w:val="both"/>
        <w:rPr>
          <w:sz w:val="24"/>
          <w:szCs w:val="24"/>
          <w:lang w:val="en-US"/>
        </w:rPr>
      </w:pPr>
      <w:r>
        <w:rPr>
          <w:sz w:val="24"/>
          <w:szCs w:val="24"/>
          <w:lang w:val="en-US"/>
        </w:rPr>
        <w:t>Attended the weekly EC meetings and meetings with IEA standing committee chairs.</w:t>
      </w:r>
      <w:r w:rsidR="00B104E3" w:rsidRPr="00AC5E86">
        <w:rPr>
          <w:sz w:val="24"/>
          <w:szCs w:val="24"/>
          <w:lang w:val="en-US"/>
        </w:rPr>
        <w:t xml:space="preserve"> </w:t>
      </w:r>
    </w:p>
    <w:sectPr w:rsidR="00B104E3" w:rsidRPr="00AC5E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166E"/>
    <w:multiLevelType w:val="hybridMultilevel"/>
    <w:tmpl w:val="B1EAEF1E"/>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496D197E"/>
    <w:multiLevelType w:val="hybridMultilevel"/>
    <w:tmpl w:val="5E1849E0"/>
    <w:lvl w:ilvl="0" w:tplc="62689206">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565C60C6"/>
    <w:multiLevelType w:val="hybridMultilevel"/>
    <w:tmpl w:val="5E1849E0"/>
    <w:lvl w:ilvl="0" w:tplc="62689206">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5E7049DE"/>
    <w:multiLevelType w:val="hybridMultilevel"/>
    <w:tmpl w:val="06E606F2"/>
    <w:lvl w:ilvl="0" w:tplc="1C090001">
      <w:start w:val="1"/>
      <w:numFmt w:val="bullet"/>
      <w:lvlText w:val=""/>
      <w:lvlJc w:val="left"/>
      <w:pPr>
        <w:ind w:left="766" w:hanging="360"/>
      </w:pPr>
      <w:rPr>
        <w:rFonts w:ascii="Symbol" w:hAnsi="Symbol" w:hint="default"/>
      </w:rPr>
    </w:lvl>
    <w:lvl w:ilvl="1" w:tplc="1C090003" w:tentative="1">
      <w:start w:val="1"/>
      <w:numFmt w:val="bullet"/>
      <w:lvlText w:val="o"/>
      <w:lvlJc w:val="left"/>
      <w:pPr>
        <w:ind w:left="1486" w:hanging="360"/>
      </w:pPr>
      <w:rPr>
        <w:rFonts w:ascii="Courier New" w:hAnsi="Courier New" w:cs="Courier New" w:hint="default"/>
      </w:rPr>
    </w:lvl>
    <w:lvl w:ilvl="2" w:tplc="1C090005" w:tentative="1">
      <w:start w:val="1"/>
      <w:numFmt w:val="bullet"/>
      <w:lvlText w:val=""/>
      <w:lvlJc w:val="left"/>
      <w:pPr>
        <w:ind w:left="2206" w:hanging="360"/>
      </w:pPr>
      <w:rPr>
        <w:rFonts w:ascii="Wingdings" w:hAnsi="Wingdings" w:hint="default"/>
      </w:rPr>
    </w:lvl>
    <w:lvl w:ilvl="3" w:tplc="1C090001" w:tentative="1">
      <w:start w:val="1"/>
      <w:numFmt w:val="bullet"/>
      <w:lvlText w:val=""/>
      <w:lvlJc w:val="left"/>
      <w:pPr>
        <w:ind w:left="2926" w:hanging="360"/>
      </w:pPr>
      <w:rPr>
        <w:rFonts w:ascii="Symbol" w:hAnsi="Symbol" w:hint="default"/>
      </w:rPr>
    </w:lvl>
    <w:lvl w:ilvl="4" w:tplc="1C090003" w:tentative="1">
      <w:start w:val="1"/>
      <w:numFmt w:val="bullet"/>
      <w:lvlText w:val="o"/>
      <w:lvlJc w:val="left"/>
      <w:pPr>
        <w:ind w:left="3646" w:hanging="360"/>
      </w:pPr>
      <w:rPr>
        <w:rFonts w:ascii="Courier New" w:hAnsi="Courier New" w:cs="Courier New" w:hint="default"/>
      </w:rPr>
    </w:lvl>
    <w:lvl w:ilvl="5" w:tplc="1C090005" w:tentative="1">
      <w:start w:val="1"/>
      <w:numFmt w:val="bullet"/>
      <w:lvlText w:val=""/>
      <w:lvlJc w:val="left"/>
      <w:pPr>
        <w:ind w:left="4366" w:hanging="360"/>
      </w:pPr>
      <w:rPr>
        <w:rFonts w:ascii="Wingdings" w:hAnsi="Wingdings" w:hint="default"/>
      </w:rPr>
    </w:lvl>
    <w:lvl w:ilvl="6" w:tplc="1C090001" w:tentative="1">
      <w:start w:val="1"/>
      <w:numFmt w:val="bullet"/>
      <w:lvlText w:val=""/>
      <w:lvlJc w:val="left"/>
      <w:pPr>
        <w:ind w:left="5086" w:hanging="360"/>
      </w:pPr>
      <w:rPr>
        <w:rFonts w:ascii="Symbol" w:hAnsi="Symbol" w:hint="default"/>
      </w:rPr>
    </w:lvl>
    <w:lvl w:ilvl="7" w:tplc="1C090003" w:tentative="1">
      <w:start w:val="1"/>
      <w:numFmt w:val="bullet"/>
      <w:lvlText w:val="o"/>
      <w:lvlJc w:val="left"/>
      <w:pPr>
        <w:ind w:left="5806" w:hanging="360"/>
      </w:pPr>
      <w:rPr>
        <w:rFonts w:ascii="Courier New" w:hAnsi="Courier New" w:cs="Courier New" w:hint="default"/>
      </w:rPr>
    </w:lvl>
    <w:lvl w:ilvl="8" w:tplc="1C090005" w:tentative="1">
      <w:start w:val="1"/>
      <w:numFmt w:val="bullet"/>
      <w:lvlText w:val=""/>
      <w:lvlJc w:val="left"/>
      <w:pPr>
        <w:ind w:left="6526" w:hanging="360"/>
      </w:pPr>
      <w:rPr>
        <w:rFonts w:ascii="Wingdings" w:hAnsi="Wingdings" w:hint="default"/>
      </w:rPr>
    </w:lvl>
  </w:abstractNum>
  <w:abstractNum w:abstractNumId="4" w15:restartNumberingAfterBreak="0">
    <w:nsid w:val="65B640D5"/>
    <w:multiLevelType w:val="hybridMultilevel"/>
    <w:tmpl w:val="ECB2F0F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1036471751">
    <w:abstractNumId w:val="3"/>
  </w:num>
  <w:num w:numId="2" w16cid:durableId="527137020">
    <w:abstractNumId w:val="4"/>
  </w:num>
  <w:num w:numId="3" w16cid:durableId="1039743239">
    <w:abstractNumId w:val="2"/>
  </w:num>
  <w:num w:numId="4" w16cid:durableId="430853617">
    <w:abstractNumId w:val="1"/>
  </w:num>
  <w:num w:numId="5" w16cid:durableId="828519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jQ1MLc0MTWwNDc0NTBR0lEKTi0uzszPAykwrAUA3mrYhSwAAAA="/>
  </w:docVars>
  <w:rsids>
    <w:rsidRoot w:val="000B7714"/>
    <w:rsid w:val="0001053E"/>
    <w:rsid w:val="000B7714"/>
    <w:rsid w:val="00113158"/>
    <w:rsid w:val="001461F0"/>
    <w:rsid w:val="001655AD"/>
    <w:rsid w:val="00350400"/>
    <w:rsid w:val="004D5EA0"/>
    <w:rsid w:val="0051308A"/>
    <w:rsid w:val="00563204"/>
    <w:rsid w:val="005D148D"/>
    <w:rsid w:val="00652EDA"/>
    <w:rsid w:val="007A31C3"/>
    <w:rsid w:val="0080117C"/>
    <w:rsid w:val="00AC5E86"/>
    <w:rsid w:val="00B104E3"/>
    <w:rsid w:val="00D71EF5"/>
    <w:rsid w:val="00DA2EAE"/>
    <w:rsid w:val="00E73F02"/>
    <w:rsid w:val="00EF0A0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8C36C"/>
  <w15:chartTrackingRefBased/>
  <w15:docId w15:val="{DFCA341F-8C53-4269-A5D0-B6522DAD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7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Rhodes University</Company>
  <LinksUpToDate>false</LinksUpToDate>
  <CharactersWithSpaces>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Todd</dc:creator>
  <cp:keywords/>
  <dc:description/>
  <cp:lastModifiedBy>Maggie Graf</cp:lastModifiedBy>
  <cp:revision>4</cp:revision>
  <dcterms:created xsi:type="dcterms:W3CDTF">2023-09-18T10:53:00Z</dcterms:created>
  <dcterms:modified xsi:type="dcterms:W3CDTF">2023-09-20T14:49:00Z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6f8cfe7cefcd1448811f9fee41651c96dd6aa9cc3810bd497b024195bf4b75d1</vt:lpwstr>
  </property>
</Properties>
</file>